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H.J.R.</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commissioners court of a county by official action may exempt from ad valorem taxation by the county a percentage, not to exceed 50 percent, of the assessed value of the residence homestead of a licensed physician who provides health care services for which the physician agrees not to seek payment from any source, including the Medicaid program or otherwise from this state or the federal government, to county residents who are indigent or who are Medicaid recipients.  The exemption is in addition to any other exemptions provided by this section.  The legislature by general law may impose additional eligibility requirements for the exemption. </w:t>
      </w:r>
      <w:r>
        <w:rPr>
          <w:u w:val="single"/>
        </w:rPr>
        <w:t xml:space="preserve"> </w:t>
      </w:r>
      <w:r>
        <w:rPr>
          <w:u w:val="single"/>
        </w:rPr>
        <w:t xml:space="preserve">Where ad valorem tax has previously been pledged for the payment of debt, the commissioners court may continue to levy and collect the tax against the value of the homesteads exempted under this subsection until the debt is discharged if the cessation of the levy would impair the obligation of the contract by which the debt was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a local option exemption from ad valorem taxation by a county of a portion of the value of the residence homestead of a physician who provides health care services for which the physician agrees not to seek payment from any source, including the Medicaid program or otherwise from this state or the federal government, to county residents who are indigent or who are Medicaid recipients."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