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88R3736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H.J.R.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periodic review of state and local tax preferences and the expiration of certain tax preferences if not reauthorized by law.</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periodic review of state and local tax preferences;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the term "tax preference" for the purposes of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the methods, timing, and administrative procedures for implementing the requirements of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reauthorized by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preference that first takes effect on or after September 1, 2024, expires six years after the date the law enacting or most recently reauthorizing the tax preference takes effect, except that the legislature may provide for an earlier expiration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preference that takes effect before September 1, 2024, and that is reauthorized by law on or after that date expires six years after the date the law most recently reauthorizing the tax preference takes effect, except that the legislature may provide for an earlier expiration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requiring the legislature to provide for a periodic review of state and local tax preferences and providing for the expiration of certain tax preferences after six years, or at another time prescribed by the legislature, unless reauthorized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27, Article VIII, of this constitution, as added by the amendment,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the legislature to provide for a periodic review of state and local tax preferences and providing for the expiration of certain tax preferences after six years, or at another time prescribed by the legislature, unless reauthorized by law."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