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H.J.R.</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limitations on the appraised value of certain real property in specified areas for ad valorem tax purposes.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Sections 1-a-1 and 1-a-2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1-a-1.</w:t>
      </w:r>
      <w:r>
        <w:rPr>
          <w:u w:val="single"/>
        </w:rPr>
        <w:t xml:space="preserve"> </w:t>
      </w:r>
      <w:r>
        <w:rPr>
          <w:u w:val="single"/>
        </w:rPr>
        <w:t xml:space="preserve"> </w:t>
      </w:r>
      <w:r>
        <w:rPr>
          <w:u w:val="single"/>
        </w:rPr>
        <w:t xml:space="preserve">(a)  Notwithstanding Sections 1(a) and (b) of this article and Section 56, Article III, of this constitution, the legislature by local law may authorize the governing body of one or more political subdivisions to adopt a temporary limitation on the appraised value for taxation by the political subdivision of one or more types of real property located in certain areas specified by law.  Property subject to the limitation shall be taxed at the lesser of the appraised value of the property as otherwise determined by law or the appraised value of the property for the tax year preceding the tax year in which the limitation first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enacted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specify one or more areas to which the appraisal limitation authorized by this section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prescribe the period for which the limitation applies, which may not be longer than 15 consecutive tax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prescribe the types of real property to which the limitation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prescribe additional eligibility requirements for the limitation;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prescribe procedures for the administration of the limitation.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57, Article III, Texas Constitution, does not apply to a local law authorized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1, 2040.</w:t>
      </w:r>
    </w:p>
    <w:p w:rsidR="003F3435" w:rsidRDefault="0032493E">
      <w:pPr>
        <w:spacing w:line="480" w:lineRule="auto"/>
        <w:ind w:firstLine="720"/>
        <w:jc w:val="both"/>
      </w:pPr>
      <w:r>
        <w:rPr>
          <w:u w:val="single"/>
        </w:rPr>
        <w:t xml:space="preserve">Sec.</w:t>
      </w:r>
      <w:r>
        <w:rPr>
          <w:u w:val="single"/>
        </w:rPr>
        <w:t xml:space="preserve"> </w:t>
      </w:r>
      <w:r>
        <w:rPr>
          <w:u w:val="single"/>
        </w:rPr>
        <w:t xml:space="preserve">1-a-2.</w:t>
      </w:r>
      <w:r>
        <w:rPr>
          <w:u w:val="single"/>
        </w:rPr>
        <w:t xml:space="preserve"> </w:t>
      </w:r>
      <w:r>
        <w:rPr>
          <w:u w:val="single"/>
        </w:rPr>
        <w:t xml:space="preserve"> </w:t>
      </w:r>
      <w:r>
        <w:rPr>
          <w:u w:val="single"/>
        </w:rPr>
        <w:t xml:space="preserve">(a)  Notwithstanding Sections 1(a) and (b) of this article and Section 56, Article III, of this constitution, the legislature by local law may limit the maximum appraised value of a rapidly appreciating residence homestead located in certain areas specified by law for ad valorem tax purposes in a tax year to the lesser of the most recent market value of the property as determined by the appraisal entity or to the appraised value of the property for the 2017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limitation on appraised values authorized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as to a rapidly appreciating residence homestead on the effective date of the law imposing the limitation;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enacted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specify one or more areas to which the appraisal limitation authorized by this section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define "rapidly appreciating residence homestead";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prescribe additional eligibility requirements for the limitation.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57, Article III, Texas Constitution, does not apply to a local law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provide for limitations on the appraised value of certain real property in specified areas for ad valorem tax purposes."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