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88R258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H.J.R.</w:t>
      </w:r>
      <w:r xml:space="preserve">
        <w:t> </w:t>
      </w:r>
      <w:r>
        <w:t xml:space="preserve">No.</w:t>
      </w:r>
      <w:r xml:space="preserve">
        <w:t> </w:t>
      </w:r>
      <w:r>
        <w:t xml:space="preserve">86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certain persons under the age of 18 to vote in a primary election.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 Texas Constitution, is amended by adding Section 1a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1a.</w:t>
      </w:r>
      <w:r>
        <w:rPr>
          <w:u w:val="single"/>
        </w:rPr>
        <w:t xml:space="preserve"> </w:t>
      </w:r>
      <w:r>
        <w:rPr>
          <w:u w:val="single"/>
        </w:rPr>
        <w:t xml:space="preserve"> </w:t>
      </w:r>
      <w:r>
        <w:rPr>
          <w:u w:val="single"/>
        </w:rPr>
        <w:t xml:space="preserve">The legislature by general law may provide for voting in a primary election by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will be 18 years of age or older on the date of the subsequent general election for state and county officers;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satisfies the other applicable requirements for eligibility to vote.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w:t>
      </w:r>
      <w:r>
        <w:t xml:space="preserve"> </w:t>
      </w:r>
      <w:r>
        <w:t xml:space="preserve">"The constitutional amendment authorizing a person who will be 18 years of age or older on the date of the general election for state and county officers to vote in the preceding primary election."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