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88R2705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dedicate net state lottery revenue to support educational programs that benefit classroom teaching in public schools and to prohibit advertisements and promotions that state or imply lottery ticket sales revenue will financially assist public schools.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 Article III, Texas Constitution,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The Legislature by general law may authorize the State to operate lotteries and may authorize the State to enter into a contract with one or more legal entities that will operate lotteries on behalf of the State.  </w:t>
      </w:r>
      <w:r>
        <w:rPr>
          <w:u w:val="single"/>
        </w:rPr>
        <w:t xml:space="preserve">All money the State receives from the operation of lotteries, other than amounts paid for administrative costs, lottery prizes, and unclaimed lottery prizes, is dedicated to and may be expended only for the enrichment of educational programs in the State's public primary and secondary schools that directly benefit classroom teaching, including teacher compensation and the acquisition of educational materials and services.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a state agency or political subdivision of the State, a legal entity contracting to operate lotteries authorized by Subsection (e) of this section, or a holder of a license issued by the State related to the operation of a lottery authorized by that subsection may not sponsor an advertisement or promotion that encourages or attempts to influence a person to purchase a lottery ticket by stating or implying the revenue generated from the ticket sale will financially assist the State's public primary or secondary schools.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dedicate net state lottery revenue to support educational programs that benefit classroom teaching in public schools and to prohibit advertisements and promotions that state or imply lottery ticket sales revenue will financially assist public schools."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