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88R2704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93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local option elections to legalize or prohibit the operation of eight-liners or similar gaming devices; authorizing a fee.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and (f)</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law may authorize and regulate the operation of gaming devices commonly known as eight-liners or similar gaming devices.  A law enacted under this subsection must allow the qualified voters voting at an election in any county, justice precinct, or municipality to determine by majority vote whether the gaming devices may be legally operated or prohibited in the county, justice precinct, or municipality.  The Legislature may impose a fee on the operation of the gaming devices approved by a majority of the voters or authorize a political subdivision to impose a fee on the operation of the gaming devices.  The Legislature may determine the rate of the fee and the allocation of the revenue from the fee notwithstanding any other provision of this Constitution governing the rate or allocation of occupations taxes.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local option elections to legalize or prohibit the operation of eight-liners or similar gaming devices."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