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88R7497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H.J.R.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denial of bail to certain persons arrested for an offense resulting in the death of or serious bodily injury to a person younger than 18 years of age.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taken into custody for an offense resulting in the death of or serious bodily injury to a person younger than 18 years of age shall be denied release on bail pending trial for a period not to exceed 30 days if a judge or magistrate, following a hearing, determines: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 preponderance of the evidence that the person engaged in the conduct constituting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clear and convincing evidence that requiring bail and conditions of release is insufficient to reasonably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be denied bail under this section more than once with respect to the same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denial of bail to certain persons arrested for an offense resulting in the death of or serious bodily injury to a person younger than 18 years of age."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