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88R6763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H.J.R.</w:t>
      </w:r>
      <w:r xml:space="preserve">
        <w:t> </w:t>
      </w:r>
      <w:r>
        <w:t xml:space="preserve">No.</w:t>
      </w:r>
      <w:r xml:space="preserve">
        <w:t> </w:t>
      </w:r>
      <w:r>
        <w:t xml:space="preserve">100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a statewide referendum allowing voters to indicate a preference for observing standard time year-round or observing daylight saving time year-round.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statewide referendum that allows the voters to indicate a preference for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observing standard time year-round;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observing daylight saving time year-round;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enact a law based on the results of the referendum providing for observing standard time year-round or observing daylight saving time year-round.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statewide referendum described by Subsection (a) of this section that is held on the same day as the election on the constitutional amendment to add this section to this article is hereby validated.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w:t>
      </w:r>
      <w:r xml:space="preserve">
        <w:t> </w:t>
      </w:r>
      <w:r>
        <w:t xml:space="preserve">7,</w:t>
      </w:r>
      <w:r xml:space="preserve">
        <w:t> </w:t>
      </w:r>
      <w:r>
        <w:t xml:space="preserve">2023.  The ballot shall be printed to permit voting for or against the proposition:  "The constitutional amendment authorizing the state to conduct a statewide referendum to allow the voters to choose between observing standard time year-round and observing daylight saving time year-round and authorizing the legislature to enact legislation that gives effect to the option preferred by a majority of the voters voting in the statewide referendum."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