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88R6635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H.J.R.</w:t>
      </w:r>
      <w:r xml:space="preserve">
        <w:t> </w:t>
      </w:r>
      <w:r>
        <w:t xml:space="preserve">No.</w:t>
      </w:r>
      <w:r xml:space="preserve">
        <w:t> </w:t>
      </w:r>
      <w:r>
        <w:t xml:space="preserve">101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income-producing tangible personal property having a value of less than a certain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tangible personal property that is held or used for the production of income and </w:t>
      </w:r>
      <w:r>
        <w:rPr>
          <w:u w:val="single"/>
        </w:rPr>
        <w:t xml:space="preserve">that</w:t>
      </w:r>
      <w:r>
        <w:t xml:space="preserve"> has a taxable value of less than </w:t>
      </w:r>
      <w:r>
        <w:rPr>
          <w:u w:val="single"/>
        </w:rPr>
        <w:t xml:space="preserve">$100,000</w:t>
      </w:r>
      <w:r>
        <w:t xml:space="preserve"> [</w:t>
      </w:r>
      <w:r>
        <w:rPr>
          <w:strike/>
        </w:rPr>
        <w:t xml:space="preserve">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income-producing tangible personal property having a value of less than $100,000."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