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Meyer, Patterson, Moody, Canales</w:t>
      </w:r>
      <w:r xml:space="preserve">
        <w:tab wTab="150" tlc="none" cTlc="0"/>
      </w:r>
      <w:r>
        <w:t xml:space="preserve">H.J.R.</w:t>
      </w:r>
      <w:r xml:space="preserve">
        <w:t> </w:t>
      </w:r>
      <w:r>
        <w:t xml:space="preserve">No.</w:t>
      </w:r>
      <w:r xml:space="preserve">
        <w:t> </w:t>
      </w:r>
      <w:r>
        <w:t xml:space="preserve">102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legalize wagering in this state on certain sporting events and requiring the legislature to dedicate to property tax relief at least 98 percent of the net state tax revenue generated from the wagering on sporting events.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 Article III, Texas Constitution,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w:t>
      </w:r>
      <w:r>
        <w:rPr>
          <w:strike/>
        </w:rPr>
        <w:t xml:space="preserve">and</w:t>
      </w:r>
      <w:r>
        <w:t xml:space="preserve">] (e)</w:t>
      </w:r>
      <w:r>
        <w:rPr>
          <w:u w:val="single"/>
        </w:rPr>
        <w:t xml:space="preserve">, (f), and (g)</w:t>
      </w:r>
      <w:r>
        <w:t xml:space="preserve">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legislature by law may authorize and regulate the placing of wagers on sporting events. A law enacted under this subsection may authorize the conduct of sports wagering only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sports team, as defined by general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sports organization that held in this state before January 1, 2023, sanctioned annual professional golf tournaments as part of a national tour of professional golfers;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class 1 horse racetrack in operation on January 1, 2023;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racetrack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existed and operated before January 1, 2000;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annually hosted National Association for Stock Car Auto Racing Cup Series events for at least 20 years preceding May 1, 2023;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designee of an entity described by Subdivisions (1)-(4) of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law enacted under Subsection (f) of this section must dedicate to property tax relief at least 98 percent of the net state tax revenue generated from wagering on sports events.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legalize wagering in this state on certain sporting events and requiring the legislature to dedicate to property tax relief at least 98 percent of the net state tax revenue generated from the wagering on sporting events."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