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Guillen, Dean, Murr, Hunter,</w:t>
      </w:r>
      <w:r xml:space="preserve">
        <w:tab wTab="150" tlc="none" cTlc="0"/>
      </w:r>
      <w:r>
        <w:t xml:space="preserve">H.J.R.</w:t>
      </w:r>
      <w:r xml:space="preserve">
        <w:t> </w:t>
      </w:r>
      <w:r>
        <w:t xml:space="preserve">No.</w:t>
      </w:r>
      <w:r xml:space="preserve">
        <w:t> </w:t>
      </w:r>
      <w:r>
        <w:t xml:space="preserve">111</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the state highway fund, the oil and gas regulation and cleanup account, the Texas emissions reduction plan fund, and the property tax relief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 (c-3)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w:t>
      </w:r>
      <w:r>
        <w:t xml:space="preserve"> [</w:t>
      </w:r>
      <w:r>
        <w:rPr>
          <w:strike/>
        </w:rPr>
        <w:t xml:space="preserve">and</w:t>
      </w:r>
      <w:r>
        <w:t xml:space="preserve">] the state highway fund</w:t>
      </w:r>
      <w:r>
        <w:rPr>
          <w:u w:val="single"/>
        </w:rPr>
        <w:t xml:space="preserve">, and the Texas severance tax revenue and oil and natural gas (Texas STRONG) defense fund</w:t>
      </w:r>
      <w:r>
        <w:t xml:space="preserve"> the sum of the amounts described by Subsections (d) and (e) of this section, to be allocated as provided by Subsections (c-1) and (c-2) of this section.  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rPr>
          <w:u w:val="single"/>
        </w:rPr>
        <w:t xml:space="preserve">Except as provided by Subsection (c-2) of this section, the comptroller shall allocate</w:t>
      </w:r>
      <w:r>
        <w:t xml:space="preserve"> [</w:t>
      </w:r>
      <w:r>
        <w:rPr>
          <w:strike/>
        </w:rPr>
        <w:t xml:space="preserve">Of</w:t>
      </w:r>
      <w:r>
        <w:t xml:space="preserve">] the sum of the amounts described by Subsections (d) and (e) of this section and required to be transferred from the general revenue fund under Subsection (c) of this section </w:t>
      </w:r>
      <w:r>
        <w:rPr>
          <w:u w:val="single"/>
        </w:rPr>
        <w:t xml:space="preserve">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38 percent</w:t>
      </w:r>
      <w:r>
        <w:t xml:space="preserve">[</w:t>
      </w:r>
      <w:r>
        <w:rPr>
          <w:strike/>
        </w:rPr>
        <w:t xml:space="preserve">, the comptroller shall allocate one-half</w:t>
      </w:r>
      <w:r>
        <w:t xml:space="preserve">] to the economic stabilization fund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 to the Texas severance tax revenue and oil and natural gas (Texas STRONG) defense fund, subject to Subsection (c-3) of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 percent to the oil and gas regulation and cleanup account;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 percent to the Texas emissions reduction plan fund;</w:t>
      </w:r>
      <w:r>
        <w:t xml:space="preserve"> and</w:t>
      </w:r>
    </w:p>
    <w:p w:rsidR="003F3435" w:rsidRDefault="0032493E">
      <w:pPr>
        <w:spacing w:line="480" w:lineRule="auto"/>
        <w:ind w:firstLine="1440"/>
        <w:jc w:val="both"/>
      </w:pPr>
      <w:r>
        <w:rPr>
          <w:u w:val="single"/>
        </w:rPr>
        <w:t xml:space="preserve">(5)</w:t>
      </w:r>
      <w:r xml:space="preserve">
        <w:t> </w:t>
      </w:r>
      <w:r xml:space="preserve">
        <w:t> </w:t>
      </w:r>
      <w:r>
        <w:t xml:space="preserve">the remainder to the state highway fund[</w:t>
      </w:r>
      <w:r>
        <w:rPr>
          <w:strike/>
        </w:rPr>
        <w:t xml:space="preserve">, except as provided by Subsection (c-2) of this section</w:t>
      </w:r>
      <w:r>
        <w:t xml:space="preserve">].</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allocation </w:t>
      </w:r>
      <w:r>
        <w:rPr>
          <w:u w:val="single"/>
        </w:rPr>
        <w:t xml:space="preserve">prescribed by Subsection (c-1)</w:t>
      </w:r>
      <w:r>
        <w:t xml:space="preserve"> [</w:t>
      </w:r>
      <w:r>
        <w:rPr>
          <w:strike/>
        </w:rPr>
        <w:t xml:space="preserve">of the sum of the amounts described by Subsections (d) and (e)</w:t>
      </w:r>
      <w:r>
        <w:t xml:space="preserve">] of this section may be adjusted to provide for a transfer to the economic stabilization fund of an amount greater than the allocation provided for under </w:t>
      </w:r>
      <w:r>
        <w:rPr>
          <w:u w:val="single"/>
        </w:rPr>
        <w:t xml:space="preserve">that subsection</w:t>
      </w:r>
      <w:r>
        <w:t xml:space="preserve"> [</w:t>
      </w:r>
      <w:r>
        <w:rPr>
          <w:strike/>
        </w:rPr>
        <w:t xml:space="preserve">Subsection (c-</w:t>
      </w:r>
      <w:r>
        <w:rPr>
          <w:strike/>
        </w:rPr>
        <w:t xml:space="preserve">1) of this section</w:t>
      </w:r>
      <w:r>
        <w:t xml:space="preserve">] with the remainder of that sum, if any, allocated for transfer to the state highway fund</w:t>
      </w:r>
      <w:r>
        <w:rPr>
          <w:u w:val="single"/>
        </w:rPr>
        <w:t xml:space="preserve">, the oil and gas regulation and cleanup account, the Texas emissions reduction plan fund, the property tax relief fund, and the Texas severance tax revenue and oil and natural gas (Texas STRONG) defense fund as provided by general law</w:t>
      </w:r>
      <w:r>
        <w:t xml:space="preserve">.  The allocation made as provided by that general law is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the amount allocated to be transferred to the Texas severance tax revenue and oil and natural gas (Texas STRONG) defense fund for a state fiscal year under Subsection (c-1) or (c-2) of this section would cause the total amount allocated for transfer to the fund under those subsections for a state fiscal year to exceed $500 million,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amount allocated to be transferred to the fund under the applicable subsection by the amount that would exceed $500 million for the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to the property tax relief fund the amount by which the allocation is reduced under Subdivision (1)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49-g-1.  (a)  The Texas severance tax revenue and oil and natural gas (Texas STRONG) defense fund is established as a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severance tax revenue and oil and natural gas (Texas STRONG) defense fund may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49-g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from the Texas severance tax revenue and oil and natural gas (Texas STRONG) defense fund only for use in areas of the state that are significantly affected by oil and gas production as determined by the legislature and for the purpose of funding grants to state agencies, political subdivisions of the state, public institutions of higher education, and nonprofit organizations to address public health and safety concerns and supplement educational opportunities and workforce preparedness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last day of each state fiscal biennium, the comptroller of public accounts shall transfer any unobligated and unappropriated money that remains in the fund on that date to the general revenue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the state highway fund, the oil and gas regulation and cleanup account, the Texas emissions reduction plan fund, and the property tax relief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49-g-1, Article III, of this constitution, as added by the amendment, and the amendment to Section 49-g, Article III, of this constitution, take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the state highway fund, the oil and gas regulation and cleanup account, the Texas emissions reduction plan fund, and the property tax relief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