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88R9049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H.J.R.</w:t>
      </w:r>
      <w:r xml:space="preserve">
        <w:t> </w:t>
      </w:r>
      <w:r>
        <w:t xml:space="preserve">No.</w:t>
      </w:r>
      <w:r xml:space="preserve">
        <w:t> </w:t>
      </w:r>
      <w:r>
        <w:t xml:space="preserve">116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water for Texas fund to assist in financing water projects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49-d-16.</w:t>
      </w:r>
      <w:r>
        <w:rPr>
          <w:u w:val="single"/>
        </w:rPr>
        <w:t xml:space="preserve"> </w:t>
      </w:r>
      <w:r>
        <w:rPr>
          <w:u w:val="single"/>
        </w:rPr>
        <w:t xml:space="preserve"> </w:t>
      </w:r>
      <w:r>
        <w:rPr>
          <w:u w:val="single"/>
        </w:rPr>
        <w:t xml:space="preserve">(a) </w:t>
      </w:r>
      <w:r>
        <w:rPr>
          <w:u w:val="single"/>
        </w:rPr>
        <w:t xml:space="preserve"> </w:t>
      </w:r>
      <w:r>
        <w:rPr>
          <w:u w:val="single"/>
        </w:rPr>
        <w:t xml:space="preserve">The water for Texas fund is created as a special fund in the state treasury outside the general revenue fund. </w:t>
      </w:r>
      <w:r>
        <w:rPr>
          <w:u w:val="single"/>
        </w:rPr>
        <w:t xml:space="preserve"> </w:t>
      </w:r>
      <w:r>
        <w:rPr>
          <w:u w:val="single"/>
        </w:rPr>
        <w:t xml:space="preserve">The fund is administered by the Texas Water Development Board or by that board's successor in function as provided by general law.  The fund is not subject to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the water for Texas fund may use the fund only to disburse money to other funds administered by the Texas Water Development Board or that board's successor in function.  The administrator may restore to the fund money disbursed from the fund and deposited to the credit of another fund. </w:t>
      </w:r>
      <w:r>
        <w:rPr>
          <w:u w:val="single"/>
        </w:rPr>
        <w:t xml:space="preserve"> </w:t>
      </w:r>
      <w:r>
        <w:rPr>
          <w:u w:val="single"/>
        </w:rPr>
        <w:t xml:space="preserve">Legislative appropriation is not required for the administrator to disburse money from, or restore money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of the water for Texas fund may establish separate accounts in the fund as necessary or convenient to administer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water for Texas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by general law, including money from any source transferred or deposited to the credit of the fund at the discretion of the administrator of the water for Texas fund as authorized by general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redeposit of money disbursed from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shall provide for the manner in which money from the water for Texas fund may be used, subject to the limitations provided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general law may provide for costs of investment of the water for Texas fund to be paid from that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creating the water for Texas fund to assist in financing water projects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