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88R9772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H.J.R.</w:t>
      </w:r>
      <w:r xml:space="preserve">
        <w:t> </w:t>
      </w:r>
      <w:r>
        <w:t xml:space="preserve">No.</w:t>
      </w:r>
      <w:r xml:space="preserve">
        <w:t> </w:t>
      </w:r>
      <w:r>
        <w:t xml:space="preserve">118</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direct the legislature to authorize and regulate the possession, cultivation, and sale of cannabis for medical use.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III, Texas Constitution, is amended by adding Section 48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w:t>
      </w:r>
      <w:r>
        <w:rPr>
          <w:u w:val="single"/>
        </w:rPr>
        <w:t xml:space="preserve"> </w:t>
      </w:r>
      <w:r>
        <w:rPr>
          <w:u w:val="single"/>
        </w:rPr>
        <w:t xml:space="preserve"> </w:t>
      </w:r>
      <w:r>
        <w:rPr>
          <w:u w:val="single"/>
        </w:rPr>
        <w:t xml:space="preserve">(a)  In this section, "cannabis" means the plant Cannabis sativa L., whether growing or not, the seeds of that plant, and every compound, manufacture, salt, derivative, mixture, or preparation of that plant or its seeds.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by law shall authorize and regulate the possession, cultivation, and sale of cannabis for medical use in this state.</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provide for voting for or against the proposition:  "The constitutional amendment directing the legislature to authorize and regulate the possession, cultivation, and sale of cannabis for medical use."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