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88R20126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xml:space="preserve">
        <w:tab wTab="150" tlc="none" cTlc="0"/>
      </w:r>
      <w:r>
        <w:t xml:space="preserve">H.J.R.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creating the broadband infrastructure fund to assist in the financing of broadband and telecommunications services projects in the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49-d-16.</w:t>
      </w:r>
      <w:r>
        <w:rPr>
          <w:u w:val="single"/>
        </w:rPr>
        <w:t xml:space="preserve">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"Comptroller" means the comptroller of public accounts of the State of Texas or its successor.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broadband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infrastructure fund is created as a special fund in the state treasury outside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deposit to the credit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this constitution or by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that the legislature by general law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gifts, grants, and donations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shall be administered by the comptroller. Money from the fund may be used, without further appropriation, only for the expansion of access to and adoption of broadband and telecommunications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construction, reconstruction, and expansion of broadband and telecommunications infrastructure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broadband and telecommunications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broadband and telecommunications services, including services authorized by general law to be funded by the universal service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reasonable expenses of administering and managing the investments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shall provide for the manner in which the assets of the fund may be used, subject to the limitations of this section. Money in the fund may be used in conjunction with other funds or financial resources, including money from the federal government, in accordance with procedures, standards, and limitations established by federal law and general law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15, 2024, the comptroller shall transfer $5 billion from the economic stabilization fund to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from the economic stabilization fund for the purpose of depositing money to the credit of the fund is treated </w:t>
      </w:r>
      <w:r>
        <w:rPr>
          <w:u w:val="single"/>
        </w:rPr>
        <w:t xml:space="preserve"> </w:t>
      </w:r>
      <w:r>
        <w:rPr>
          <w:u w:val="single"/>
        </w:rPr>
        <w:t xml:space="preserve">as if it were an appropriation of revenues dedicated by this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Unless extended by adoption of a concurrent resolution approved by a record vote of two-thirds of the members of each house of the legislature, this section expires on September 1, 2035.  A resolution suspends the expiration of this section until September 1 of the 10th year following the adoption of the resolution.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Immediately before the expiration of this section, the comptroller shall transfer any unexpended and unobligated balance remaining in the fund to the economic stabilization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amendment to Article III of this constitution as proposed by the 88th Legislature, Regular Session, 2023, creating the broadband infrastructure fund to assist in the financing of broadband and telecommunications services projects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change made to Article III of this constitution by the amendment described in Subsection (a) takes effect January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creating the broadband infrastructure fund to assist in the financing of broadband and telecommunications services projects in the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