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H.J.R.</w:t>
      </w:r>
      <w:r xml:space="preserve">
        <w:t> </w:t>
      </w:r>
      <w:r>
        <w:t xml:space="preserve">No.</w:t>
      </w:r>
      <w:r xml:space="preserve">
        <w:t> </w:t>
      </w:r>
      <w:r>
        <w:t xml:space="preserve">125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creating the broadband infrastructure fund to expand high-speed broadband access and assist in the financing of connectivity projects.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49-d-16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49-d-16.</w:t>
      </w:r>
      <w:r>
        <w:rPr>
          <w:u w:val="single"/>
        </w:rPr>
        <w:t xml:space="preserve">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"Comptroller" means the comptroller of public accounts of the State of Texas or its successor.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means the broadband infrastructure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broadband infrastructure fund is created as a special fund in the state treasury outside the general revenue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or deposited to the credit of the fund by this constitution, general law, or the General Appropriations 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revenue that the legislature by general law dedicates for deposit to the credit of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investment earnings and interest earned on money in the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gifts, grants, and donations to the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fund shall be administered by the comptroller.  Money from the fund may be used, without further appropriation, only for the expansion of access to and adoption of broadband and telecommunications services,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construction, reconstruction, and expansion of broadband and telecommunications infrastructure or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operation of broadband and telecommunications infrastructure;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provision of broadband and telecommunications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reasonable expenses of administering and managing the investments of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legislature by general law shall provide for the manner in which the assets of the fund may be used, subject to the limitations of this section. Money in the fund may be used in conjunction with other funds or financial resources, including money from the federal government, in accordance with procedures, standards, and limitations established by federal law and general law of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may transfer money from the fund to another fund as provided by general law. </w:t>
      </w:r>
      <w:r>
        <w:rPr>
          <w:u w:val="single"/>
        </w:rPr>
        <w:t xml:space="preserve"> </w:t>
      </w:r>
      <w:r>
        <w:rPr>
          <w:u w:val="single"/>
        </w:rPr>
        <w:t xml:space="preserve">The state agency that administers the fund to which the money is transferred as authorized by this subsection may use the money without further appropriation only for the expansion of access to and adoption of broadband and telecommunications services as provided by general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Unless extended by adoption of a concurrent resolution approved by a record vote of two-thirds of the members of each house of the legislature, this section expires on September 1, 2035.  A resolution suspends the expiration of this section until September 1 of the 10th year following the adoption of the resolution.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Immediately before the expiration of this section, the comptroller shall transfer any unexpended and unobligated balance remaining in the fund to the general revenue fund.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purposes of Section 22, Article VIII, of this constitution: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in the fund is dedicated by this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appropriation of state tax revenues for the purpose of depositing money to the credit of the fund is treated as if it were an appropriation of revenues dedicated by this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amendment to Article III of this constitution as proposed by the 88th Legislature, Regular Session, 2023, creating the broadband infrastructure fund to expand high-speed broadband access and assist in the financing of connectivity projects.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change made to Article III of this constitution by the amendment described in Subsection (a) of this section takes effect January 1, 2024.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"The constitutional amendment creating the broadband infrastructure fund to expand high-speed broadband access and assist in the financing of connectivity projects."</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H.J.R. No. 125 was passed by the House on April 26, 2023, by the following vote:</w:t>
      </w:r>
      <w:r xml:space="preserve">
        <w:t> </w:t>
      </w:r>
      <w:r xml:space="preserve">
        <w:t> </w:t>
      </w:r>
      <w:r>
        <w:t xml:space="preserve">Yeas 137, Nays 7, 1 present, not voting; that the House refused to concur in Senate amendments to H.J.R. No. 125 on May 23, 2023, by a non-record vote and requested the appointment of a conference committee to consider the differences between the two houses; and that the House adopted the conference committee report on H.J.R</w:t>
      </w:r>
      <w:r>
        <w:t xml:space="preserve">. No. 125 on May 28, 2023, by the following vote:</w:t>
      </w:r>
      <w:r xml:space="preserve">
        <w:t> </w:t>
      </w:r>
      <w:r xml:space="preserve">
        <w:t> </w:t>
      </w:r>
      <w:r>
        <w:t xml:space="preserve">Yeas 128, Nays 10,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H.J.R. No. 125 was passed by the Senate, with amendments, on May 18, 2023, by the following vote:</w:t>
      </w:r>
      <w:r xml:space="preserve">
        <w:t> </w:t>
      </w:r>
      <w:r xml:space="preserve">
        <w:t> </w:t>
      </w:r>
      <w:r>
        <w:t xml:space="preserve">Yeas 30, Nays 1; at the request of the House, the Senate appointed a conference committee to consider the differences between the two houses; and that the Senate adopted the conference committee report on H.J.R. No. 125 on May 28, 2023,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RECEIVED: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Secretary of State</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