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et al.</w:t>
      </w:r>
      <w:r>
        <w:t xml:space="preserve"> (Senate Sponsor</w:t>
      </w:r>
      <w:r xml:space="preserve">
        <w:t> </w:t>
      </w:r>
      <w:r>
        <w:t xml:space="preserve">-</w:t>
      </w:r>
      <w:r xml:space="preserve">
        <w:t> </w:t>
      </w:r>
      <w:r>
        <w:t xml:space="preserve">Huffman)</w:t>
      </w:r>
      <w:r xml:space="preserve">
        <w:tab wTab="150" tlc="none" cTlc="0"/>
      </w:r>
      <w:r>
        <w:t xml:space="preserve">H.J.R.</w:t>
      </w:r>
      <w:r xml:space="preserve">
        <w:t> </w:t>
      </w:r>
      <w:r>
        <w:t xml:space="preserve">No.</w:t>
      </w:r>
      <w:r xml:space="preserve">
        <w:t> </w:t>
      </w:r>
      <w:r>
        <w:t xml:space="preserve">125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27,</w:t>
      </w:r>
      <w:r xml:space="preserve">
        <w:t> </w:t>
      </w:r>
      <w:r>
        <w:t xml:space="preserve">2023; May</w:t>
      </w:r>
      <w:r xml:space="preserve">
        <w:t> </w:t>
      </w:r>
      <w:r>
        <w:t xml:space="preserve">2,</w:t>
      </w:r>
      <w:r xml:space="preserve">
        <w:t> </w:t>
      </w:r>
      <w:r>
        <w:t xml:space="preserve">2023, read first time and referred to Committee on Business &amp; Commerce; May</w:t>
      </w:r>
      <w:r xml:space="preserve">
        <w:t> </w:t>
      </w:r>
      <w:r>
        <w:t xml:space="preserve">3,</w:t>
      </w:r>
      <w:r xml:space="preserve">
        <w:t> </w:t>
      </w:r>
      <w:r>
        <w:t xml:space="preserve">2023, rereferred to Committee on Finance; May</w:t>
      </w:r>
      <w:r xml:space="preserve">
        <w:t> </w:t>
      </w:r>
      <w:r>
        <w:t xml:space="preserve">16,</w:t>
      </w:r>
      <w:r xml:space="preserve">
        <w:t> </w:t>
      </w:r>
      <w:r>
        <w:t xml:space="preserve">2023, reported adversely, with favorable Committee Substitute by the following vote:</w:t>
      </w:r>
      <w:r>
        <w:t xml:space="preserve"> </w:t>
      </w:r>
      <w:r>
        <w:t xml:space="preserve"> </w:t>
      </w:r>
      <w:r>
        <w:t xml:space="preserve">Yeas 16, Nays 1; May</w:t>
      </w:r>
      <w:r xml:space="preserve">
        <w:t> </w:t>
      </w:r>
      <w:r>
        <w:t xml:space="preserve">16,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H.J.R.</w:t>
      </w:r>
      <w:r xml:space="preserve">
        <w:t> </w:t>
      </w:r>
      <w:r>
        <w:t xml:space="preserve">No.</w:t>
      </w:r>
      <w:r xml:space="preserve">
        <w:t> </w:t>
      </w:r>
      <w:r>
        <w:t xml:space="preserve">125</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creating the broadband infrastructure fund to expand high-speed broadband access and assist in the financing of connectivity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49-d-16.</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"Comptroller" means the comptroller of public accounts of the State of Texas or its successor.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broadband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infrastructure fund is created as a special fund in the state treasury outside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this constitution, general law, or the General Appropriations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that the legislature by general law dedicates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gifts, grants, and donations to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fund shall be administered by the comptroller.  Money from the fund may be used only for the expansion of access to and adoption of broadband and telecommunications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construction, reconstruction, and expansion of broadband and telecommunications infrastructure 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broadband and telecommunications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broadband and telecommunications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reasonable expenses of administering and managing the investments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shall provide for the manner in which the assets of the fund may be used, subject to the limitations of this section. Money in the fund may be used in conjunction with other funds or financial resources, including money from the federal government, in accordance with procedures, standards, and limitations established by federal law and general law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fund is treated </w:t>
      </w:r>
      <w:r>
        <w:rPr>
          <w:u w:val="single"/>
        </w:rPr>
        <w:t xml:space="preserve"> </w:t>
      </w:r>
      <w:r>
        <w:rPr>
          <w:u w:val="single"/>
        </w:rPr>
        <w:t xml:space="preserve">as if it were an appropriation of revenues dedicated by this constitution.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Unless extended by adoption of a concurrent resolution approved by a record vote of two-thirds of the members of each house of the legislature, this section expires on September 1, 2035.  A resolution suspends the expiration of this section until September 1 of the 10th year following the adoption of the resolution.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Immediately before the expiration of this section, the comptroller shall transfer any unexpended and unobligated balance remaining in the fund to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amendment to Article III of this constitution as proposed by the 88th Legislature, Regular Session, 2023, creating the broadband infrastructure fund to expand high-speed broadband access and assist in the financing of connectivity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change made to Article III of this constitution by the amendment described in Subsection (a) of this section takes effect January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creating the broadband infrastructure fund to expand high-speed broadband access and assist in the financing of connectivity projects."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C.S.H.J.R.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