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Meyer, Vasut, Burrows, Raymond,</w:t>
      </w:r>
      <w:r xml:space="preserve">
        <w:tab wTab="150" tlc="none" cTlc="0"/>
      </w:r>
      <w:r>
        <w:t xml:space="preserve">H.J.R.</w:t>
      </w:r>
      <w:r xml:space="preserve">
        <w:t> </w:t>
      </w:r>
      <w:r>
        <w:t xml:space="preserve">No.</w:t>
      </w:r>
      <w:r xml:space="preserve">
        <w:t> </w:t>
      </w:r>
      <w:r>
        <w:t xml:space="preserve">132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JOINT RESOLUTION</w:t>
      </w:r>
    </w:p>
    <w:p w:rsidR="003F3435" w:rsidRDefault="0032493E">
      <w:pPr>
        <w:spacing w:line="480" w:lineRule="auto"/>
        <w:jc w:val="both"/>
      </w:pPr>
      <w:r>
        <w:t xml:space="preserve">proposing a constitutional amendment prohibiting the imposition of an individual net worth or wealth tax.</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The legislature may not impose a tax based on the wealth or net worth of an individual or family, including a tax based on the difference between the assets and liabilities of an individual or family.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proposition:"The constitutional amendment prohibiting the imposition of an individual wealth or net worth tax, including a tax on the difference between the assets and liabilities of an individual or family."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