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88R15833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H.J.R.</w:t>
      </w:r>
      <w:r xml:space="preserve">
        <w:t> </w:t>
      </w:r>
      <w:r>
        <w:t xml:space="preserve">No.</w:t>
      </w:r>
      <w:r xml:space="preserve">
        <w:t> </w:t>
      </w:r>
      <w:r>
        <w:t xml:space="preserve">132</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132:</w:t>
      </w: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C.S.H.J.R.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legislature from imposing a tax on the net worth of individuals or businesses.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24-b.</w:t>
      </w:r>
      <w:r>
        <w:rPr>
          <w:u w:val="single"/>
        </w:rPr>
        <w:t xml:space="preserve"> </w:t>
      </w:r>
      <w:r>
        <w:rPr>
          <w:u w:val="single"/>
        </w:rPr>
        <w:t xml:space="preserve"> </w:t>
      </w:r>
      <w:r>
        <w:rPr>
          <w:u w:val="single"/>
        </w:rPr>
        <w:t xml:space="preserve">(a)  Subject to Subsection (b) of this section, the legislature may not impose a tax on the net worth of individuals or business entities.  For purposes of this section, the net worth of an individual or business entity means the amount computed by subtracting from the value of the individual's or entity's assets the value of the individual's or entity's liabilities.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as prohibiting the imposition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 valorem tax on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business tax measured by business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to prohibit the legislature from imposing a tax on the net worth of individuals or businesses."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