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Craddick, Buckley,</w:t>
      </w:r>
      <w:r xml:space="preserve">
        <w:tab wTab="150" tlc="none" cTlc="0"/>
      </w:r>
      <w:r>
        <w:t xml:space="preserve">H.J.R.</w:t>
      </w:r>
      <w:r xml:space="preserve">
        <w:t> </w:t>
      </w:r>
      <w:r>
        <w:t xml:space="preserve">No.</w:t>
      </w:r>
      <w:r xml:space="preserve">
        <w:t> </w:t>
      </w:r>
      <w:r>
        <w:t xml:space="preserve">135</w:t>
      </w:r>
    </w:p>
    <w:p w:rsidR="003F3435" w:rsidRDefault="0032493E">
      <w:pPr>
        <w:jc w:val="both"/>
      </w:pPr>
      <w:r xml:space="preserve">
        <w:t> </w:t>
      </w:r>
      <w:r xml:space="preserve">
        <w:t> </w:t>
      </w:r>
      <w:r xml:space="preserve">
        <w:t> </w:t>
      </w:r>
      <w:r xml:space="preserve">
        <w:t> </w:t>
      </w:r>
      <w:r xml:space="preserve">
        <w:t> </w:t>
      </w:r>
      <w:r>
        <w:t xml:space="preserve">Bonnen, et al.</w:t>
      </w:r>
    </w:p>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Mental Health and Brain Research Institute of Texas and establishing the Mental Health and Brain Institute Research Fund for the purposes of scientific research of all forms of mental health and human brain disease and disorders.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Mental Health and Brain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collaborations in this state to provide funds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the treatment, rehabilitation, protocols, and cures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mental health and human brain-related diseases, syndromes, disorders, dysfunctions, and injuries;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developmental issues;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neurological health issues;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behavioral health issues;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substance use disorders and other addictions;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into other issues affecting mental health and the human brain, including issues that directly or indirectly affect or are affected by mental health or the brain or brain health, such as the gut microbiome, nutrition, the spinal cord, or the nervous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research into the prevalence of the use of psychoactive and psychotropic medications by veterans in this state, including any connection to increased rates of suicide among veterans who take a psychoactive or psychotropic medication;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facilities, equipment, supplies, salaries, benefits, and other costs related to brain research;</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research, including translational research, to develop therapies, protocols, medical pharmaceuticals, or procedures for the cure or substantial mitigation of all types of brain diseases and disorders;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prevention programs and strategies to mitigate the incidence of detrimental health impacts on the brain;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collaborations in this state in all stages of the process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all types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mental and behavioral health issues;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human brain-related diseases, syndromes, disorders, dysfunctions, and injuries;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developmental issues;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neurological health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cure or substantial mitigation of mental health and brain diseases and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of mental health and brain diseases or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for brain research and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Mental Health and Brain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Mental Health and Brain Institute Research Fund is established as a special fund in the state treasury outside the general revenue fund to be administered by the institute.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January 1, 2024, the comptroller shall transfer $3 billion from the general revenue fund to the Mental Health and Brain Institute Research Fund.  The transfer made under this subsection is not an appropriation of state tax revenues for the purposes of Section 22, Article VIII, of this constitution.  This subsection expires January 1, 2025.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Mental Health and Brain Institute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entered into by the Mental Health and Brain Research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the Mental Health and Brain Research Institute of Texas, as established by general law, may use money in the Mental Health and Brain Institute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in this state for mental health and brain research, research facilities, and research opportunities in this state to develop therapies, protocols, medical pharmaceuticals, or procedures for the cure, substantial mitigation, or prevention of brain diseases or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for the prevention of mental and behavioral health issues and substance use disorders and other addictions, and brain disease and disorder prevention to mitigate the incidence of all types of brain diseases or disorders in humans;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purchase, construction, or renovation, subject to approval by the institute, of facilities by or on behalf of a state agency or grant recipient;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Mental Health and Brain Research Institute of Texas may award a grant under this section, the recipient of the grant must have an amount of funds equal to one-half the amount of the grant dedicated to the research that is the subject of the grant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fund's assets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the creation of the Mental Health and Brain Research Institute of Texas, establishing the Mental Health and Brain Institute Research Fund to provide funding for mental health and brain research in this state, and transferring general revenue to that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