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88R7896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H.J.R.</w:t>
      </w:r>
      <w:r xml:space="preserve">
        <w:t> </w:t>
      </w:r>
      <w:r>
        <w:t xml:space="preserve">No.</w:t>
      </w:r>
      <w:r xml:space="preserve">
        <w:t> </w:t>
      </w:r>
      <w:r>
        <w:t xml:space="preserve">147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limit the maximum appraised value of a residence homestead for ad valorem tax purposes to the appraised value of the property when it was first qualified as a residence homestead, plus the value of subsequent improvements.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strike/>
        </w:rPr>
        <w:t xml:space="preserve">110 percent, or a greater percentage, of</w:t>
      </w:r>
      <w:r>
        <w:t xml:space="preserve">] the appraised value of the residence homestead for the </w:t>
      </w:r>
      <w:r>
        <w:rPr>
          <w:u w:val="single"/>
        </w:rPr>
        <w:t xml:space="preserve">tax year in which the owner first qualified the property for an exemption under Section 1-b of this article and the value of subsequent improvements made to the property</w:t>
      </w:r>
      <w:r>
        <w:t xml:space="preserve"> </w:t>
      </w:r>
      <w:r>
        <w:t xml:space="preserve">[</w:t>
      </w:r>
      <w:r>
        <w:rPr>
          <w:strike/>
        </w:rPr>
        <w:t xml:space="preserve">preceding tax year</w:t>
      </w:r>
      <w:r>
        <w:t xml:space="preserve">].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limit the maximum appraised value of a residence homestead for ad valorem tax purposes to the appraised value of the property when it was first qualified as a residence homestead, plus the value of subsequent improvements."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