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88R16112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H.J.R.</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 portion of the market value of a property that is the primary residence of an adult who has an intellectual or developmental disability and is related to the owner of the property within a certain degree by consanguinity.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1-b-3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1-b-3.</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a portion of the market value of the real property a person owns that is the primary residence of an adult who has an intellectual or developmental disability and is related to the owner of the property within the third degree by consanguinity and that is not used for the production of income.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portion of the market value of real property authorized to be exempted under Subsection (a) of this section is equal to the amount of the exemption provided by Section 1-b(c) of this article applicable to the residence homestead of a married or unmarried adult, including one living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define "developmental disability" and "intellectual disability"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 portion of the market value of a property that is the primary residence of an adult who has an intellectual or developmental disability and is related to the owner of the property within a certain degree by consanguinity."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