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H.J.R.</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State School Safety Fund to provide financial support for projects that enhance the safety of schools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amending Section 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 </w:t>
      </w:r>
      <w:r>
        <w:rPr>
          <w:u w:val="single"/>
        </w:rPr>
        <w:t xml:space="preserve"> </w:t>
      </w:r>
      <w:r>
        <w:rPr>
          <w:u w:val="single"/>
        </w:rPr>
        <w:t xml:space="preserve">The State School Safety Fund is created as a special fund in the state treasury outside the general revenue fund. Money in the State School Safety Fund shall be administered, without further appropriation, by the Texas Permanent School Fund Corporation or that corporation's successor in function.  In accordance with general law, the State School Safety Fund may be used only to support projects to enhance the safety of schools in this state, including projects ensure schools meet school safety standards as determined by the Texas Education Agency.  Separate accounts may be established in the State School Safety Fund as necessary or convenient to administer the fund or the supported projects. </w:t>
      </w:r>
      <w:r>
        <w:rPr>
          <w:u w:val="single"/>
        </w:rPr>
        <w:t xml:space="preserve"> </w:t>
      </w:r>
      <w:r>
        <w:rPr>
          <w:u w:val="single"/>
        </w:rPr>
        <w:t xml:space="preserve">The financial assistance authorized by this section may be provided directly to independent school districts and open-enrollment charter schools as provided by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Texas Permanent School Fund Corporation or that corporation's successor in function to use the State School Safety Fund to provide financial assistance, including by direct grant, for projects that enhance the safety of schools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School Safety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Texas Permanent School Fund Corporation or that corporation's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including the proceeds of any fee or tax imposed by this state,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surplus funds identified in any fiscal year from the Foundation School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the assets of the State School Safety Fund may be used, subject to the limitations provided by this section.  The legislature by general law may provide for costs of investment and administration of the State School Safety Fund to be paid from that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Section 22 , Article VIII, of this constitution, an appropriation of money from the economic stabilization fund for the purpose of depositing that money to the credit of the State School Safety Fund is considered to be an appropriation of state tax revenues dedicated by this constitution.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is intended to establish a basic framework of the State School Safety Fund, and the legislature by general law may provide for the implementation and effectuate the design and objects of this section and may delegate duties, responsibilities, functions, and authority to the Texas Permanent School Fund Corporation or that corporation's successor in function for those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w:t>
      </w:r>
      <w:r>
        <w:t xml:space="preserve"> </w:t>
      </w:r>
      <w:r>
        <w:t xml:space="preserve">The ballot shall be printed to permit voting for or against the proposition: "The constitutional amendment creating the State School Safety Fund to provide financial support for projects that enhance the safety in schools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