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88R2634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H.J.R.</w:t>
      </w:r>
      <w:r xml:space="preserve">
        <w:t> </w:t>
      </w:r>
      <w:r>
        <w:t xml:space="preserve">No.</w:t>
      </w:r>
      <w:r xml:space="preserve">
        <w:t> </w:t>
      </w:r>
      <w:r>
        <w:t xml:space="preserve">175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exempt from ad valorem taxation property used to control pollution, regardless of whether the property is used to meet or exceed rules or regulations adopted for that purpose.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1-l(a), Article VIII,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legislature by general law may exempt from ad valorem taxation all or part of real and personal property used, constructed, acquired, or installed wholly or partly to </w:t>
      </w:r>
      <w:r>
        <w:rPr>
          <w:u w:val="single"/>
        </w:rPr>
        <w:t xml:space="preserve">prevent, monitor, control, or reduce</w:t>
      </w:r>
      <w:r>
        <w:t xml:space="preserve"> [</w:t>
      </w:r>
      <w:r>
        <w:rPr>
          <w:strike/>
        </w:rPr>
        <w:t xml:space="preserve">meet or exceed rules or regulations adopted by any environmental protection agency of the United States, this state, or a political subdivision of this state for the prevention, monitoring, control, or reduction of</w:t>
      </w:r>
      <w:r>
        <w:t xml:space="preserve">] air, water, or land pollution.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exempt from ad valorem taxation property used to control pollution, regardless of whether the property is used to meet or exceed rules or regulations adopted for that purpose."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