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88R5540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H.J.R.</w:t>
      </w:r>
      <w:r xml:space="preserve">
        <w:t> </w:t>
      </w:r>
      <w:r>
        <w:t xml:space="preserve">No.</w:t>
      </w:r>
      <w:r xml:space="preserve">
        <w:t> </w:t>
      </w:r>
      <w:r>
        <w:t xml:space="preserve">177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secretary of state to be elected by the qualified voters at a general election instead of appointed by the governor.</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 21, and 23, Article IV, Texas Constitution, are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All the above officers of the Executive Department [</w:t>
      </w:r>
      <w:r>
        <w:rPr>
          <w:strike/>
        </w:rPr>
        <w:t xml:space="preserve">(except Secretary of State)</w:t>
      </w:r>
      <w:r>
        <w:t xml:space="preserve">] shall be elected by the qualified voters of the State at the time and places of election for members of the Legislature.</w:t>
      </w:r>
    </w:p>
    <w:p w:rsidR="003F3435" w:rsidRDefault="0032493E">
      <w:pPr>
        <w:spacing w:line="480" w:lineRule="auto"/>
        <w:ind w:firstLine="720"/>
        <w:jc w:val="both"/>
      </w:pPr>
      <w:r>
        <w:t xml:space="preserve">Sec.</w:t>
      </w:r>
      <w:r xml:space="preserve">
        <w:t> </w:t>
      </w:r>
      <w:r>
        <w:t xml:space="preserve">21.</w:t>
      </w:r>
      <w:r xml:space="preserve">
        <w:t> </w:t>
      </w:r>
      <w:r xml:space="preserve">
        <w:t> </w:t>
      </w:r>
      <w:r>
        <w:rPr>
          <w:u w:val="single"/>
        </w:rPr>
        <w:t xml:space="preserve">The</w:t>
      </w:r>
      <w:r>
        <w:t xml:space="preserve"> [</w:t>
      </w:r>
      <w:r>
        <w:rPr>
          <w:strike/>
        </w:rPr>
        <w:t xml:space="preserve">There shall be a</w:t>
      </w:r>
      <w:r>
        <w:t xml:space="preserve">] Secretary of State[</w:t>
      </w:r>
      <w:r>
        <w:rPr>
          <w:strike/>
        </w:rPr>
        <w:t xml:space="preserve">, who shall be appointed by the Governor, by and with the advice and consent of the Senate, and who shall continue in office during the term of service of the Governor.  He</w:t>
      </w:r>
      <w:r>
        <w:t xml:space="preserve">] shall authenticate the publication of the laws, and keep a fair register of all official acts and proceedings of the Governor, and shall, when required, lay the same and all papers, minutes and vouchers relative thereto, before the Legislature, or either House thereof, and shall perform such other duties as may be required [</w:t>
      </w:r>
      <w:r>
        <w:rPr>
          <w:strike/>
        </w:rPr>
        <w:t xml:space="preserve">of him</w:t>
      </w:r>
      <w:r>
        <w:t xml:space="preserve">] by law.  [</w:t>
      </w:r>
      <w:r>
        <w:rPr>
          <w:strike/>
        </w:rPr>
        <w:t xml:space="preserve">He shall receive for his services an annual salary in an amount to be fixed by the Legislature.</w:t>
      </w:r>
      <w:r>
        <w:t xml:space="preserve">]</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The Comptroller of Public Accounts, </w:t>
      </w:r>
      <w:r>
        <w:rPr>
          <w:u w:val="single"/>
        </w:rPr>
        <w:t xml:space="preserve">the Secretary of State,</w:t>
      </w:r>
      <w:r>
        <w:t xml:space="preserve"> the Commissioner of the General Land Office, the Attorney General, and any statutory State officer who is elected by the electorate of Texas at large, unless a term of office is otherwise specifically provided in this Constitution, shall each hold office for the term of four years.  Each shall receive an annual salary in an amount to be fixed by the Legislature and perform such duties as are or may be required by law.  They [</w:t>
      </w:r>
      <w:r>
        <w:rPr>
          <w:strike/>
        </w:rPr>
        <w:t xml:space="preserve">and the Secretary of State</w:t>
      </w:r>
      <w:r>
        <w:t xml:space="preserve">] shall not receive to their own use any fees, costs or perquisites of office.  All fees that may be payable by law for any service performed by any officer specified in this section or in the officer's office, shall be paid, when received, into the State Treasury.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 Article XV, Texas Constitution, is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Impeachment of the Governor, Lieutenant Governor, Attorney General, Commissioner of the General Land Office, </w:t>
      </w:r>
      <w:r>
        <w:rPr>
          <w:u w:val="single"/>
        </w:rPr>
        <w:t xml:space="preserve">Secretary of State,</w:t>
      </w:r>
      <w:r>
        <w:t xml:space="preserve"> Comptroller and the Judges of the Supreme Court, Court of Appeals and District Court shall be tried by the Senate.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requiring the secretary of state to be elected by the qualified voters at a general election instead of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removed as provided by law, the secretary of state serving on the date that the adoption of the amendment by the voters is shown by the official canvass of returns shall continue in office under the former law and that former law is continued in effect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secretary of state to be elected by the qualified voters at a general election instead of appointed by the 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