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88R12163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H.J.R.</w:t>
      </w:r>
      <w:r xml:space="preserve">
        <w:t> </w:t>
      </w:r>
      <w:r>
        <w:t xml:space="preserve">No.</w:t>
      </w:r>
      <w:r xml:space="preserve">
        <w:t> </w:t>
      </w:r>
      <w:r>
        <w:t xml:space="preserve">180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Texas energy reliability fund to finance construction of electric generating facilities.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49-q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49-q.</w:t>
      </w:r>
      <w:r>
        <w:rPr>
          <w:u w:val="single"/>
        </w:rPr>
        <w:t xml:space="preserve"> </w:t>
      </w:r>
      <w:r>
        <w:rPr>
          <w:u w:val="single"/>
        </w:rPr>
        <w:t xml:space="preserve"> </w:t>
      </w:r>
      <w:r>
        <w:rPr>
          <w:u w:val="single"/>
        </w:rPr>
        <w:t xml:space="preserve">(a)  The Texas energy reliability fund is created as a special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provided by general law, money in the Texas energy reliability fund may be administered and used, without further appropriation, only by the Public Utility Commission of Texas or that commission's successor in function to provide loans to finance the construction of new electric generating facilities or additional generating capacity for electric generating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entity administering the Texas energy reliability fund may establish separate accounts in the fund as necessary or convenient for the fund's administration.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energy reliability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by or as authorized by law, including money from any source transferred or deposited to the credit of the fund at the discretion of the entity administering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revenue, including the proceeds of any fee, assessment, or tax imposed by this state, that general law dedicates for deposit to the credit of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money in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Texas energy reliability fund to finance construction of electric generating facilities."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