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88R11633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 Fischer</w:t>
      </w:r>
      <w:r xml:space="preserve">
        <w:tab wTab="150" tlc="none" cTlc="0"/>
      </w:r>
      <w:r>
        <w:t xml:space="preserve">H.J.R.</w:t>
      </w:r>
      <w:r xml:space="preserve">
        <w:t> </w:t>
      </w:r>
      <w:r>
        <w:t xml:space="preserve">No.</w:t>
      </w:r>
      <w:r xml:space="preserve">
        <w:t> </w:t>
      </w:r>
      <w:r>
        <w:t xml:space="preserve">186</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providing for the creation of the junior college endowment fund and dedicating the interest and other investment income from money in the fund to reduce the cost of tuition at public junior colleges in this state.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 Texas Constitution, is amended by adding Section 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w:t>
      </w:r>
      <w:r>
        <w:rPr>
          <w:u w:val="single"/>
        </w:rPr>
        <w:t xml:space="preserve"> </w:t>
      </w:r>
      <w:r>
        <w:rPr>
          <w:u w:val="single"/>
        </w:rPr>
        <w:t xml:space="preserve"> </w:t>
      </w:r>
      <w:r>
        <w:rPr>
          <w:u w:val="single"/>
        </w:rPr>
        <w:t xml:space="preserve">(a)  The junior college endowment fund is established for the purpose of providing a dedicated source of funding to reduce the cost of tuition at public junior colleges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or deposited to the credit of the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interest or other earnings attributable to the investment of money in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of public accounts shall administer the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legislature may not appropriate the principal balance of the fund for any purpose.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legislature may appropriate the interest and other earnings attributable to the investment of money in the fund only for the purpose of reducing the cost of tuition at public junior colleges in this state.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January 1, 2024, the comptroller of public accounts shall transfer $2 billion of the unencumbered balance of the general revenue fund that exists on that date to the junior college endowment fund.  This subsection expires December 31, 2024.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providing for the creation of the junior college endowment fund and dedicating the interest and other investment income from money in the fund to reduce the cost of tuition at public junior colleges in this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