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Maverick</w:t>
      </w:r>
      <w:r xml:space="preserve">
        <w:tab wTab="150" tlc="none" cTlc="0"/>
      </w:r>
      <w:r>
        <w:t xml:space="preserve">H.J.R.</w:t>
      </w:r>
      <w:r xml:space="preserve">
        <w:t> </w:t>
      </w:r>
      <w:r>
        <w:t xml:space="preserve">No.</w:t>
      </w:r>
      <w:r xml:space="preserve">
        <w:t> </w:t>
      </w:r>
      <w:r>
        <w:t xml:space="preserve">190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JOINT RESOLUTION</w:t>
      </w:r>
    </w:p>
    <w:p w:rsidR="003F3435" w:rsidRDefault="0032493E">
      <w:pPr>
        <w:spacing w:line="480" w:lineRule="auto"/>
        <w:jc w:val="both"/>
      </w:pPr>
      <w:r>
        <w:t xml:space="preserve">proposing a constitutional amendment to authorize the creation of a regional mobility authority by local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RESOLVED BY THE LEGISLATURE OF THE STATE OF TEXAS: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III, Texas Constitution, is amended by adding Section 49-q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49-q.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legislature by local law may create a regional mobility authority for the purposes of constructing, maintaining, and operating transportation projects in a region of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legislature may pass a local law described by Subsection (a) of this section without the local notice required for special or local laws.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proposed constitutional amendment shall be submitted to the voters at an election to be held November 2, 2023. </w:t>
      </w:r>
      <w:r>
        <w:t xml:space="preserve"> </w:t>
      </w:r>
      <w:r>
        <w:t xml:space="preserve">The ballot shall be printed to permit voting for or against the proposition: "The constitutional amendment to authorize the legislature to create a regional mobility authority by local law."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H.J.R.</w:t>
    </w:r>
    <w:r xml:space="preserve">
      <w:t> </w:t>
    </w:r>
    <w:r>
      <w:t xml:space="preserve">No.</w:t>
    </w:r>
    <w:r xml:space="preserve">
      <w:t> </w:t>
    </w:r>
    <w:r>
      <w:t xml:space="preserve">190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