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Slaton</w:t>
      </w:r>
      <w:r xml:space="preserve">
        <w:tab wTab="150" tlc="none" cTlc="0"/>
      </w:r>
      <w:r>
        <w:t xml:space="preserve">H.J.R.</w:t>
      </w:r>
      <w:r xml:space="preserve">
        <w:t> </w:t>
      </w:r>
      <w:r>
        <w:t xml:space="preserve">No.</w:t>
      </w:r>
      <w:r xml:space="preserve">
        <w:t> </w:t>
      </w:r>
      <w:r>
        <w:t xml:space="preserve">193</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the legislature to provide for a credit against the ad valorem taxes imposed on property owned by a person who makes a donation to the state for the purpose of border security and to provide for the reimbursement of political subdivisions for the revenue loss incurred as a result of the credit.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1-q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1-q.</w:t>
      </w:r>
      <w:r>
        <w:rPr>
          <w:u w:val="single"/>
        </w:rPr>
        <w:t xml:space="preserve"> </w:t>
      </w:r>
      <w:r>
        <w:rPr>
          <w:u w:val="single"/>
        </w:rPr>
        <w:t xml:space="preserve"> </w:t>
      </w:r>
      <w:r>
        <w:rPr>
          <w:u w:val="single"/>
        </w:rPr>
        <w:t xml:space="preserve">(a) </w:t>
      </w:r>
      <w:r>
        <w:rPr>
          <w:u w:val="single"/>
        </w:rPr>
        <w:t xml:space="preserve"> </w:t>
      </w:r>
      <w:r>
        <w:rPr>
          <w:u w:val="single"/>
        </w:rPr>
        <w:t xml:space="preserve">The legislature by general law may provide that a person who makes a donation to the state for the purpose of  border security is entitled to a credit against the ad valorem taxes imposed on property that the person owns in an amount equal  to the lesser of the amount of the donation or the amount of taxes imposed.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by general law may prescribe eligibility requirements for the tax credit authorized by this section and may provide formulas for determining the manner in which the credit is allocated among the political subdivisions that impose a tax on the person's property.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provision of this </w:t>
      </w:r>
      <w:r>
        <w:rPr>
          <w:u w:val="single"/>
        </w:rPr>
        <w:t xml:space="preserve">constitution, the legislature by general law may authorize the use of state money to reimburse a political subdivision for the revenue loss incurred as a result of the tax credit authorized by this section and shall provide a procedure for distributing the money appropriated for that purpose.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5, 2024. </w:t>
      </w:r>
      <w:r>
        <w:t xml:space="preserve"> </w:t>
      </w:r>
      <w:r>
        <w:t xml:space="preserve">The ballot shall be printed to permit voting for or against the proposition: "The constitutional amendment to authorize the legislature to provide for a credit against the ad valorem taxes imposed on property owned by a person who makes a donation to the state for the purpose of border security and to provide for the reimbursement of political subdivisions for the revenue loss incurred as a result of the credit."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