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88R6051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H.J.R.</w:t>
      </w:r>
      <w:r xml:space="preserve">
        <w:t> </w:t>
      </w:r>
      <w:r>
        <w:t xml:space="preserve">No.</w:t>
      </w:r>
      <w:r xml:space="preserve">
        <w:t> </w:t>
      </w:r>
      <w:r>
        <w:t xml:space="preserve">197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allow certain officers to become candidates for an office of profit or trust without automatically resigning from their current office.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65(a), Article XVI,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the following offices </w:t>
      </w:r>
      <w:r>
        <w:rPr>
          <w:u w:val="single"/>
        </w:rPr>
        <w:t xml:space="preserve">serving counties with a population of 100,000 or more according to the most recent federal decennial census</w:t>
      </w:r>
      <w:r>
        <w:t xml:space="preserve">: District Clerks; County Clerks; County Judges; Judges of the County Courts at Law, County Criminal Courts, County Probate Courts and County Domestic Relations Courts; County Treasurers; Criminal District Attorneys; County Surveyors; County Commissioners; Justices of the Peace; Sheriffs; Assessors and Collectors of Taxes; District Attorneys; County Attorneys; Public Weighers; and Constables.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allow an officer of a county with a population of less than 100,000 to become a candidate for another office without automatically resigning from the currently held office."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