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H.J.R.</w:t>
      </w:r>
      <w:r xml:space="preserve">
        <w:t> </w:t>
      </w:r>
      <w:r>
        <w:t xml:space="preserve">No.</w:t>
      </w:r>
      <w:r xml:space="preserve">
        <w:t> </w:t>
      </w:r>
      <w:r>
        <w:t xml:space="preserve">205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prohibit the imposition of school district maintenance and operations ad valorem taxes on residence homesteads, to increase the rates of state sales and use taxes and dedicate the revenue attributable to that increase for public education, and to establish and prescribe the permissible uses of the homeowner protection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 Article VII, Texas Constitution,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constitution or general law, a school district, other than a junior college district, may not impose an ad valorem tax for maintenance and operations purposes on a person's residence homestead.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VIII, Texas Constitution, is amended by adding Sections 1-c, 27, and 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1-c.</w:t>
      </w:r>
      <w:r>
        <w:rPr>
          <w:u w:val="single"/>
        </w:rPr>
        <w:t xml:space="preserve"> </w:t>
      </w:r>
      <w:r>
        <w:rPr>
          <w:u w:val="single"/>
        </w:rPr>
        <w:t xml:space="preserve"> </w:t>
      </w:r>
      <w:r>
        <w:rPr>
          <w:u w:val="single"/>
        </w:rPr>
        <w:t xml:space="preserve">(a) </w:t>
      </w:r>
      <w:r>
        <w:rPr>
          <w:u w:val="single"/>
        </w:rPr>
        <w:t xml:space="preserve"> </w:t>
      </w:r>
      <w:r>
        <w:rPr>
          <w:u w:val="single"/>
        </w:rPr>
        <w:t xml:space="preserve">The homeowner protection fund is established as a fund in the state treasury.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homeowner protection fund may consist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appropriated to the fund at the direction of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that the legislature by statute dedicates for deposit to the credit of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earnings and interest earned on amounts  in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appropriate money from the homeowner protection fund only in the event that sufficient revenue is not  available to provide for the support and maintenance of an efficient system of public free schools.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of this section, the  legislature by general law may provide for a procedure by which money in the homeowner protection fund is transferred to the  general revenue fund if the balance of the homeowner protection fund exceeds an amount determined by the legislature. The amount  determined by the legislature may not be less than $20 billion.  The comptroller of public accounts shall comply with a general law enacted by the legislature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appropriation or transfer of money from the homeowner protection fund for a purpose described by Subsection (c) or (d) of this section is not an appropriation of state tax revenues for purposes of Section 22 of this article.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January 1, 2024, $20 billion of the unobligated and otherwise unappropriated balance of the general revenue fund is  appropriated to the homeowner protection fund established under this section. The appropriation required by this subsection is not  an appropriation of state tax revenues for purposes of Section 22  of this article. This subsection expires December 31,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w:t>
      </w:r>
      <w:r>
        <w:rPr>
          <w:u w:val="single"/>
        </w:rPr>
        <w:t xml:space="preserve"> </w:t>
      </w:r>
      <w:r>
        <w:rPr>
          <w:u w:val="single"/>
        </w:rPr>
        <w:t xml:space="preserve">This temporary provision applies to  the constitutional amendment proposed by the 88th Legislature,  Regular Session, 2023, to prohibit the imposition of school  district maintenance and operations ad valorem taxes on residence  homesteads, to increase the rates of state sales and use taxes and dedicate the revenue attributable to that increase for public  education, to impose a tax on the transfer of residential real  estate, and to establish and prescribe the permissible uses of the  homeowner protection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prohibit the imposition of school district maintenance and operations ad valorem taxes on residence homesteads, to increase the rates of state sales and use taxes and dedicate the revenue attributable to that increase for public education, to impose a tax on the transfer of residential real estate, and to establish and prescribe the permissible uses of the homeowner protection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