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Rowlett are gathering in Austin on January 31, 2023, to celebrate Rowlett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area around present-day Rowlett was first settled in the 1840s by members of the Peters and Mercer Colonies; a post office was set up in 1880, and the town was eventually named Rowlett after Rowlett Creek, a tributary of the east fork of the Trinity River;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arrival of the Dallas and Greenville Railway in 1889, the town soon became a prosperous cotton farming community with a school, churches, and businesses, and it also benefited from being a stop on one of the nation's first transcontinental highways, the Bankhead Highway; the city was incorporated in 1952 by a vote of 84 citizens;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Rowlett has grown into a thriving city of more than 60,000 residents who enjoy 30 miles of beautiful Lake Ray Hubbard shoreline; it has been named a Tree City USA, and it has been ranked as one of the safest cities in the state; Rowlett has also won recognition from the Texas Economic Development Council and the </w:t>
      </w:r>
      <w:r>
        <w:rPr>
          <w:i/>
        </w:rPr>
        <w:t xml:space="preserve">Dallas Business Journal</w:t>
      </w:r>
      <w:r>
        <w:t xml:space="preserve"> for its economic development achievements; the Rowlett Chamber of Commerce was established in 1924, and it has continued to play a vital role in local development as this small, agricultural town has grown into a modern city with a vibrant downtown business district;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Honoring their heritage as they embrace the opportunities of the future, the citizens of Rowlett may take justifiable pride in the fine Texas city they call home;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January 31, 2023, as Rowlett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Button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40 was adopted by the House on March 8,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