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Citizens of Howard County are gathering in Austin on January 26, 2023, to celebrate Howard County Day at the State Capitol; and</w:t>
      </w:r>
    </w:p>
    <w:p w:rsidR="003F3435" w:rsidRDefault="0032493E">
      <w:pPr>
        <w:spacing w:line="480" w:lineRule="auto"/>
        <w:ind w:firstLine="720"/>
        <w:jc w:val="both"/>
      </w:pPr>
      <w:r>
        <w:t xml:space="preserve">WHEREAS, Situated on the high plains of West Texas, between the Llano Estacado and the Edwards Plateau and at the crossroads of Interstate 20 and the Ports-to-Plains designated Interstate 27, Howard County is a center for oil and gas production, education, health care, agriculture, transportation, manufacturing, and other diverse industries; established in 1876, the county boasts a rich and expansive history, and today, the area is experiencing new and continuing development as citizens look ahead to the opportunities of the future; and</w:t>
      </w:r>
    </w:p>
    <w:p w:rsidR="003F3435" w:rsidRDefault="0032493E">
      <w:pPr>
        <w:spacing w:line="480" w:lineRule="auto"/>
        <w:ind w:firstLine="720"/>
        <w:jc w:val="both"/>
      </w:pPr>
      <w:r>
        <w:t xml:space="preserve">WHEREAS, Residents and visitors alike enjoy an array of recreational activities found in the trails and green spaces at Big Spring State Park, Comanche Trail Park, and Moss Lake, and they can learn about Howard County's colorful past at the Heritage Museum, the Hangar 25 Air Museum, and the renovated Historic Big Spring; in addition, the county hosts a number of annual events, such as the Comanche Trail Festival of Lights, which has earned Big Spring designation as the Lighted Poinsettia Capital of Texas; area residents also benefit from the educational opportunities provided by Howard College and the SouthWest College for the Deaf; and</w:t>
      </w:r>
    </w:p>
    <w:p w:rsidR="003F3435" w:rsidRDefault="0032493E">
      <w:pPr>
        <w:spacing w:line="480" w:lineRule="auto"/>
        <w:ind w:firstLine="720"/>
        <w:jc w:val="both"/>
      </w:pPr>
      <w:r>
        <w:t xml:space="preserve">WHEREAS, Deeply devoted to their communities and to the land that has shaped them, the residents of Howard County may take justifiable pride in their efforts to preserve the area's rich heritage and to cultivate a robust quality of life; now, therefore, be it</w:t>
      </w:r>
    </w:p>
    <w:p w:rsidR="003F3435" w:rsidRDefault="0032493E">
      <w:pPr>
        <w:spacing w:line="480" w:lineRule="auto"/>
        <w:ind w:firstLine="720"/>
        <w:jc w:val="both"/>
      </w:pPr>
      <w:r>
        <w:t xml:space="preserve">RESOLVED, That the House of Representatives of the 88th Texas Legislature hereby recognize January 26, 2023, as Howard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Darby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62 was adopted by the House on January 25</w:t>
      </w:r>
      <w:r>
        <w:t xml:space="preserve">,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