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420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Bleeding Disorders Awareness Month is being observed in March 2023 to focus attention on hemophilia and other hereditary bleeding disorders, which impact the lives of some three million Americans;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Bleeding disorders are characterized by the body's inability to form proper blood clots, which occurs due to defects in platelets, clotting proteins, or blood vessels; although these diseases are almost always inherited, in rare cases, they may develop later in life when the body develops an autoimmune response to the blood's natural clotting factors;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When the normal clotting process is diminished, patients may experience problems with bleeding excessively from relatively minor injuries; other symptoms can include easy bruising, unexplained nosebleeds, and anemia; if not treated effectively, bleeding disorders can be fatal;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Hemophilia Awareness Month was first designated federally in March 1986; three decades later, in March 2016, the Department of Health and Human Services expanded the observance to include other bleeding disorders, such as von Willebrand disease;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Bleeding disorders are life-changing and potentially deadly conditions, and Bleeding Disorders Awareness Month serves as a means of rallying support for vital research and resources that can help improve the outlook for those living with these diseases;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recognize March 2023 as Bleeding Disorders Awareness Month and encourage all Texans to learn more about bleeding disorders.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Oliverson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420 was adopted by the House on March 16,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420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