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88R6376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420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Bleeding Disorders Awareness Month is being observed in March 2023 to focus attention on hemophilia and other hereditary bleeding disorders, which impact the lives of some three million Americans;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Bleeding disorders are characterized by the body's inability to form proper blood clots, which occurs due to defects in platelets, clotting proteins, or blood vessels; although these diseases are almost always inherited, in rare cases, they may develop later in life when the body develops an autoimmune response to the blood's natural clotting factors;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When the normal clotting process is diminished, patients may experience problems with bleeding excessively from relatively minor injuries; other symptoms can include easy bruising, unexplained nosebleeds, and anemia; if not treated effectively, bleeding disorders can be fatal;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Hemophilia Awareness Month was first designated federally in March 1986; three decades later, in March 2016, the Department of Health and Human Services expanded the observance to include other bleeding disorders, such as von Willebrand disease;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Bleeding disorders are life-changing and potentially deadly conditions, and Bleeding Disorders Awareness Month serves as a means of rallying support for vital research and resources that can help improve the outlook for those living with these diseases;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2023 as Bleeding Disorders Awareness Month and encourage all Texans to learn more about bleeding disorders.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420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