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88R16079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Leo-Wilson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510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Samuel Mathis of The University of Texas Medical Branch at Galveston is serving as Physician of the Day at the State Capitol on April 5,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Physician of the Day Program provides for a doctor from the Texas Academy of Family Physicians to be on call each day of a legislative session as a resource for legislators and support staff; physicians travel from all over the state to volunteer their time and expertise at the Capitol Health Services Clinic;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Dr.</w:t>
      </w:r>
      <w:r xml:space="preserve">
        <w:t> </w:t>
      </w:r>
      <w:r>
        <w:t xml:space="preserve">Samuel Mathis is an assistant professor at the UTMB Health Department of Family Medicine and the associate director of the Medical Student Education Program; he also serves as a physician at the UTMB Galveston Island East Family Medicine clinic; a leader in his field, he holds a seat on the Texas Medical Association Board of Directors and is a former president of the Galveston County Medical Society; he was honored as a </w:t>
      </w:r>
      <w:r>
        <w:rPr>
          <w:i/>
        </w:rPr>
        <w:t xml:space="preserve">Texas Monthly</w:t>
      </w:r>
      <w:r>
        <w:t xml:space="preserve"> Super Doctors Rising Star in 2021 and 2022, and he received a </w:t>
      </w:r>
      <w:r>
        <w:rPr>
          <w:i/>
        </w:rPr>
        <w:t xml:space="preserve">Galveston County Daily News</w:t>
      </w:r>
      <w:r>
        <w:t xml:space="preserve"> 40 Under 40 Award in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Following his graduation from Baylor University, Dr.</w:t>
      </w:r>
      <w:r xml:space="preserve">
        <w:t> </w:t>
      </w:r>
      <w:r>
        <w:t xml:space="preserve">Mathis earned his doctor of medicine degree from UTMB at Galveston in 2014; he completed training with the Memorial Family Medicine Residency Program in Sugar Land and with the UTMB Health Integrative and Behavioral Medicine Fellowship program; moreover, he is certified by the American Board of Family Medicine;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Over the course of his career, Dr.</w:t>
      </w:r>
      <w:r xml:space="preserve">
        <w:t> </w:t>
      </w:r>
      <w:r>
        <w:t xml:space="preserve">Mathis has provided skilled and compassionate care to his fellow citizens, and it is indeed a pleasure to welcome this esteemed medical professional to the State Capitol;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88th Texas Legislature hereby commend Dr.</w:t>
      </w:r>
      <w:r xml:space="preserve">
        <w:t> </w:t>
      </w:r>
      <w:r>
        <w:t xml:space="preserve">Mathis for his participation in the Physician of the Day Program and extend to him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Dr.</w:t>
      </w:r>
      <w:r xml:space="preserve">
        <w:t> </w:t>
      </w:r>
      <w:r>
        <w:t xml:space="preserve">Mathis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510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