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88R13373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Proud residents of Texas House District 92 are gathering in Austin to celebrate House District 92 Day at the State Capitol on March 15,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Located in North Texas, House District 92 includes communities in Arlington, Bedford, Euless, Fort Worth, Grand Prairie, and Hurst, and it is home to parts of the Arlington and Hurst-Euless-Bedford Independent School Districts;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House District 92 is also a thriving center for business and commerce, and the American Airlines headquarters is located there as well as a General Motors plant;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its diverse population, rich cultural resources, and dynamic economy, House District 92 plays an important role in the story of Texas, and its residents may take well-deserved pride in their contributions;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15, 2023, as House District</w:t>
      </w:r>
      <w:r xml:space="preserve">
        <w:t> </w:t>
      </w:r>
      <w:r>
        <w:t xml:space="preserve">92 Day at the State Capitol and extend a warm welcome to the visiting delegation.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