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House of Representatives of the 88th Texas Legislature hereby recognize the first full week in April as Gifted and Talented Students Week.</w:t>
      </w:r>
    </w:p>
    <w:p w:rsidR="003F3435" w:rsidRDefault="0032493E">
      <w:pPr>
        <w:jc w:val="both"/>
      </w:pPr>
    </w:p>
    <w:p w:rsidR="003F3435" w:rsidRDefault="0032493E">
      <w:pPr>
        <w:jc w:val="right"/>
      </w:pPr>
      <w:r>
        <w:t xml:space="preserve">Shaheen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594 was adopted by the House on March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