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observance of Social Work Month in March 2023 provides a welcome opportunity to raise awareness of the important contributions made by members of this profession;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Acknowledging the long history of this vocation, the National Association of Social Workers has adopted the theme "Social Work Breaks Barriers" for 2023; early pioneers in the field include Jane Addams and Ellen Gates Star, who opened Hull House in Chicago in 1889 for the benefit of the city's large immigrant population; other transformational figures have been George Edmund Haynes, who cofounded the National Urban League, and Ida B. Wells, the heroic women's rights and anti-lynching activist; during the Great Depression, Frances Perkins, the first female secretary of labor, was instrumental in the advent of the 40-hour workweek, minimum wage, and Social Security; Whitney M. Young Jr., NASW president in the Civil Rights era, collaborated with President Lyndon B. Johnson and other leaders to end racial employment discrimination;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Today, social work is among the fastest-growing careers in the United States, with more than 700,000 professionals employed in a wide variety of settings, from schools, hospitals, and corporations to the criminal justice system and government agencies; each day, they help people at both the individual level and the systems level; while some assist with immediate needs such as food, shelter, and medical care, others are involved in advocating for laws and policies to effect long-term solutions; they have pushed for the adoption of livable wages, workplace safety measures, and other reforms;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Social workers play a crucial role in battling the opioid crisis, and they are among the leading providers of mental health care; they serve in the wake of natural disasters and in the midst of family tragedies; each day, their code of ethics prompts them to fight injustice and champion equal rights for all people;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well over a century, social workers have dedicated themselves to improving the well-being of their fellow Americans, and their tireless endeavors have empowered individuals and strengthened communities all across the nation;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2023 as Social Work Month.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Bernal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872 was adopted by the House on April 14,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