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88R19029 BPG-D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observance of Social Work Month in March 2023 provides a welcome opportunity to raise awareness of the important contributions made by members of this profession;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Acknowledging the long history of this vocation, the National Association of Social Workers has adopted the theme "Social Work Breaks Barriers" for 2023; early pioneers in the field include Jane Addams and Ellen Gates Star, who opened Hull House in Chicago in 1889 for the benefit of the city's large immigrant population; other transformational figures have been George Edmund Haynes, who cofounded the National Urban League, and Ida B. Wells, the heroic women's rights and anti-lynching activist; during the Great Depression, Frances Perkins, the first female secretary of labor, was instrumental in the advent of the 40-hour workweek, minimum wage, and Social Security; Whitney M. Young Jr., NASW president in the Civil Rights era, collaborated with President Lyndon B. Johnson and other leaders to end racial employment discrimination;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social work is among the fastest-growing careers in the United States, with more than 700,000 professionals employed in a wide variety of settings, from schools, hospitals, and corporations to the criminal justice system and government agencies; each day, they help people at both the individual level and the systems level; while some assist with immediate needs such as food, shelter, and medical care, others are involved in advocating for laws and policies to effect long-term solutions; they have pushed for the adoption of livable wages, workplace safety measures, and other reforms;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Social workers play a crucial role in battling the opioid crisis, and they are among the leading providers of mental health care; they serve in the wake of natural disasters and in the midst of family tragedies; each day, their code of ethics prompts them to fight injustice and champion equal rights for all people;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well over a century, social workers have dedicated themselves to improving the well-being of their fellow Americans, and their tireless endeavors have empowered individuals and strengthened communities all across the 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2023 as Social Work Month.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