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Recovery Day at the State Capitol is taking place on April 5, 2023, providing a fitting opportunity to recognize addiction professionals for their many contributions to the health and well-being of Texas residents; and</w:t>
      </w:r>
    </w:p>
    <w:p w:rsidR="003F3435" w:rsidRDefault="0032493E">
      <w:pPr>
        <w:spacing w:line="480" w:lineRule="auto"/>
        <w:ind w:firstLine="720"/>
        <w:jc w:val="both"/>
      </w:pPr>
      <w:r>
        <w:t xml:space="preserve">WHEREAS, Addiction professionals work to prevent, treat, and support recovery from substance use disorders through evidence-based services, such as intervention programs, peer support, and educational initiatives; these skilled individuals have demonstrated a steadfast commitment to the highest standards of their profession, and they have played an instrumental role in local communities' response to the opioid crisis; and</w:t>
      </w:r>
    </w:p>
    <w:p w:rsidR="003F3435" w:rsidRDefault="0032493E">
      <w:pPr>
        <w:spacing w:line="480" w:lineRule="auto"/>
        <w:ind w:firstLine="720"/>
        <w:jc w:val="both"/>
      </w:pPr>
      <w:r>
        <w:t xml:space="preserve">WHEREAS, Today, the addiction professional workforce encompasses more than 100,000 counselors, educators, peer specialists, and other health care personnel; moreover, addiction professionals work in a wide variety of settings, including outpatient care centers, mental health and substance use disorder facilities, general medicine and surgical hospitals, clinics, prisons, probation agencies, juvenile detention facilities, recovery housing, recovery community centers, and detoxification centers; and</w:t>
      </w:r>
    </w:p>
    <w:p w:rsidR="003F3435" w:rsidRDefault="0032493E">
      <w:pPr>
        <w:spacing w:line="480" w:lineRule="auto"/>
        <w:ind w:firstLine="720"/>
        <w:jc w:val="both"/>
      </w:pPr>
      <w:r>
        <w:t xml:space="preserve">WHEREAS, Through their dedicated efforts, addiction professionals are helping to improve the quality of life for numerous people in the Lone Star State, and they are deserving of their fellow citizens' deep respect and appreciation; now, therefore, be it</w:t>
      </w:r>
    </w:p>
    <w:p w:rsidR="003F3435" w:rsidRDefault="0032493E">
      <w:pPr>
        <w:spacing w:line="480" w:lineRule="auto"/>
        <w:ind w:firstLine="720"/>
        <w:jc w:val="both"/>
      </w:pPr>
      <w:r>
        <w:t xml:space="preserve">RESOLVED, That the House of Representatives of the 88th Texas Legislature hereby recognize April 5, 2023, as Recovery Day at the State Capitol and commend all addiction professionals for their contributions.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882 was adopted by the House on April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