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88R25494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J. Johnson of Harris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1227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Texas Southern University cheerleading team realized a historic milestone by being crowned champions at the 2023 National Cheerleaders Association &amp; National Dance Alliance College Nationals;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Joining other top squads from throughout the country in Daytona Beach, Florida, from April 5 through 9, the Tigers delivered an exceptional performance; competing in the Cheer Spirit Rally Division I category, TSU held first place after the preliminary round and went on to triumph in the final round with a total event score of 95.5875, outdistancing its nearest competitor by a margin of nearly 11 points;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win was all the more significant because the Tigers are the first team from a Historically Black College and University to claim a national title at the cheerleading championships, and their success is sure to inspire countless young performers across the nation;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TSU cheerleaders benefit from the able leadership of head coach Shontrese Comeaux, who has made success at nationals a priority for the team; under her guidance, the Tigers have devoted themselves to building their skills and refining their routines, with valuable contributions being made by each member of the roster;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Winning a national championship represents the culmination of countless hours of training and an unwavering commitment to excellence, and the Texas Southern cheerleaders are a source of great pride to the entire university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the Texas Southern University cheerleading team on winning the Cheer Spirit Rally Division I championship at the 2023 NCA &amp; NDA College Nationals and extend to all those associated with the team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Tigers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1227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