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1317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Chambers County was honored with a 2022 Excellence in Safety Award from Texas Association of Counties;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Excellence in Safety Award is presented to member counties and governmental entities that demonstrate a commitment to developing and improving safety and loss control programs and to controlling claims costs; honorees, which are chosen from among participants in the TAC Risk Management Pool Workers Compensation Program, must fulfill a set of criteria designed to ensure the efficacy of their workers' safety programs, policies, and training methods;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Recognized for its commitment to implementing and improving workplace safety measures, Chambers County was one of only 11 counties across Texas to win a TAC Excellence in Safety Award for 2022;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Safety should be the highest priority of any organization, and by successfully meeting the criteria outlined by TAC, Chambers County has set a commendable example for other communities throughout the state and nation;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88th Texas Legislature hereby congratulate Chambers County on its receipt of a 2022 Excellence in Safety Award from the Texas Association of Counties and extend sincere appreciation to all those who helped secure this recognition;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Chambers County as an expression of high regard by the Texas House of Representatives.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Leo-Wilson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1317 was adopted by the House on May 12, 2023,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1317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