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88R31029 TBO-D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2283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National Cameroonian Heritage and Diaspora Month is taking place in May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becoming an independent nation in 1960, Cameroon has played a vital role in maintaining regional stability; nicknamed "Africa in Miniature," the country is known for its religious, linguistic, geographic, and ethnic diversity, and the Cameroonian diaspora includes individuals of many different backgrounds;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Cameroon has long served as an important economic, military, and cultural partner of the United States; Cameroonian immigrants and their descendants have contributed greatly to all areas of American life, including the military, health care, the arts, education, community service, and public policy; in addition, they have been active in social and political movements in the U.S.;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Each year since 1972, May 20 has been set aside for Cameroon National Day to celebrate Cameroonian citizens around the globe; in the United States, the observance continues throughout the month of May for National Cameroonian Heritage and Diaspora Month;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Lone Star State is home to generations of Americans who take great pride in their family roots in Cameroon, and National Cameroonian Heritage and Diaspora Month provides a welcome opportunity to recognize their significant contributions to the prosperity and cultural vibrancy of our nation;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May 2023 as National Cameroonian Heritage and Diaspora Month.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2283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