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2471</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BE IT RESOLVED by the House of Representatives of the State of Texas, 88th Legislature, Regular Session, 2023, That House Rule 13, Section 9(a), be suspended in part as provided by House Rule 13, Section 9(f), to enable the conference committee appointed to resolve the differences on House Joint Resolution 125 (creating the broadband infrastructure fund to expand high-speed broadband access and assist in the financing of connectivity projects) to consider and take action on the following matter:</w:t>
      </w:r>
    </w:p>
    <w:p w:rsidR="003F3435" w:rsidRDefault="0032493E">
      <w:pPr>
        <w:spacing w:line="480" w:lineRule="auto"/>
        <w:ind w:firstLine="720"/>
        <w:jc w:val="both"/>
      </w:pPr>
      <w:r>
        <w:t xml:space="preserve">House Rule 13, Section 9(a)(4), is suspended to permit the committee to add text on a matter not included in either the house or senate version of the joint resolution in proposed SECTION 1 of the joint resolution, by adding Section 49-d-16(f), Article III, Texas Constitution,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comptroller may transfer money from the fund to another fund as provided by general law. </w:t>
      </w:r>
      <w:r>
        <w:rPr>
          <w:u w:val="single"/>
        </w:rPr>
        <w:t xml:space="preserve"> </w:t>
      </w:r>
      <w:r>
        <w:rPr>
          <w:u w:val="single"/>
        </w:rPr>
        <w:t xml:space="preserve">The state agency that administers the fund to which the money is transferred as authorized by this subsection may use the money without further appropriation only for the expansion of access to and adoption of broadband and telecommunications services as provided by general law.</w:t>
      </w:r>
    </w:p>
    <w:p w:rsidR="003F3435" w:rsidRDefault="0032493E">
      <w:pPr>
        <w:spacing w:line="480" w:lineRule="auto"/>
        <w:ind w:firstLine="720"/>
        <w:jc w:val="both"/>
      </w:pPr>
      <w:r>
        <w:t xml:space="preserve">Explanation: The added text would enable the comptroller of public accounts to transfer money from the broadband infrastructure fund to another fund, authorizing the state agency administering the fund to which the money is transferred to use it only for the expansion of access to and adoption of broadband and telecommunications services.</w:t>
      </w:r>
    </w:p>
    <w:p w:rsidR="003F3435" w:rsidRDefault="0032493E">
      <w:pPr>
        <w:jc w:val="both"/>
      </w:pPr>
    </w:p>
    <w:p w:rsidR="003F3435" w:rsidRDefault="0032493E">
      <w:pPr>
        <w:jc w:val="right"/>
      </w:pPr>
      <w:r>
        <w:t xml:space="preserve">Ashby</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2471 was adopted by the House on May 28, 2023, by the following vote:</w:t>
      </w:r>
      <w:r xml:space="preserve">
        <w:t> </w:t>
      </w:r>
      <w:r xml:space="preserve">
        <w:t> </w:t>
      </w:r>
      <w:r>
        <w:t xml:space="preserve">Yeas 131, Nays 8,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2471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