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2023; March</w:t>
      </w:r>
      <w:r xml:space="preserve">
        <w:t> </w:t>
      </w:r>
      <w:r>
        <w:t xml:space="preserve">9,</w:t>
      </w:r>
      <w:r xml:space="preserve">
        <w:t> </w:t>
      </w:r>
      <w:r>
        <w:t xml:space="preserve">2023, read first time and referred to Committee on State Affairs; March</w:t>
      </w:r>
      <w:r xml:space="preserve">
        <w:t> </w:t>
      </w:r>
      <w:r>
        <w:t xml:space="preserve">22,</w:t>
      </w:r>
      <w:r xml:space="preserve">
        <w:t> </w:t>
      </w:r>
      <w:r>
        <w:t xml:space="preserve">2023, reported favorably by the following vote:</w:t>
      </w:r>
      <w:r>
        <w:t xml:space="preserve"> </w:t>
      </w:r>
      <w:r>
        <w:t xml:space="preserve"> </w:t>
      </w:r>
      <w:r>
        <w:t xml:space="preserve">Yeas 8, Nays 3; March</w:t>
      </w:r>
      <w:r xml:space="preserve">
        <w:t> </w:t>
      </w:r>
      <w:r>
        <w:t xml:space="preserve">22,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prohibitions on the provision to certain children of procedures and treatments for gender transitioning, gender reassignment, or gender dysphoria and on the use of public money or public assistance to provide those procedures and treatments.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child health plan may not provide coverage for services prohibited by Section 161.702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this state's laws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w:t>
      </w:r>
      <w:r>
        <w:rPr>
          <w:u w:val="single"/>
        </w:rPr>
        <w:t xml:space="preserve"> </w:t>
      </w:r>
      <w:r>
        <w:rPr>
          <w:u w:val="single"/>
        </w:rPr>
        <w:t xml:space="preserve">means the medical assistance program established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prescribe, administer,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Section 161.702 does not apply to the provision by a physician or health care provider, with the consent of the child's parent or legal guardian,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puberty suppression or blocking prescription drugs for the purpose of normalizing puberty for a minor experiencing precocious puberty;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and medically necessary procedures or treatments to a child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46,XX chromosomes with virilization;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46,XY chromosomes with undervirilization;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PROHIBITED USE OF PUBLIC MONEY.  Public money may not directly or indirectly be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PROHIBITED STATE HEALTH PLAN REIMBURSEMENT.  The commission may not provide Medicaid reimbursement and the child health plan program established by Chapter 62 may not provide reimbursement to a physician or health care provider for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ATTORNEY GENERAL ENFORCEMENT.  (a)  If the attorney general has reason to believe that a person is committing, has committed, or is about to commit a violation of Section 161.702, the attorney general may bring an action to enforce this subchapter to restrain or enjoin the person from committing, continuing to commit, or repeating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 action brought under this section is in a district court of Travis County or the county where the violation occurred or is about to occur.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The medical assistance program may not provide coverage for services prohibited by Section 161.702, Health and Safety Code,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 [</w:t>
      </w:r>
      <w:r>
        <w:rPr>
          <w:strike/>
        </w:rPr>
        <w:t xml:space="preserve">or</w:t>
      </w:r>
      <w:r>
        <w:t xml:space="preserve">]</w:t>
      </w:r>
    </w:p>
    <w:p w:rsidR="003F3435" w:rsidRDefault="0032493E">
      <w:pPr>
        <w:spacing w:line="480" w:lineRule="auto"/>
        <w:ind w:firstLine="1440"/>
        <w:jc w:val="both"/>
      </w:pPr>
      <w:r>
        <w:t xml:space="preserve">(23)</w:t>
      </w:r>
      <w:r xml:space="preserve">
        <w:t> </w:t>
      </w:r>
      <w:r xml:space="preserve">
        <w:t> </w:t>
      </w:r>
      <w:r>
        <w:t xml:space="preserve">performs or delegates to another individual the performance of a pelvic examination on an anesthetized or unconscious patient in violation of Section 167A.002, Health and Safety Code</w:t>
      </w:r>
      <w:r>
        <w:rPr>
          <w:u w:val="single"/>
        </w:rPr>
        <w:t xml:space="preserve">; or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performs a gender transitioning or gender reassignment procedure or treatment in violation of Section 161.702,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164, Occupations Code, is amended by adding Section 164.0552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164.0552.</w:t>
      </w:r>
      <w:r>
        <w:rPr>
          <w:u w:val="single"/>
        </w:rPr>
        <w:t xml:space="preserve"> </w:t>
      </w:r>
      <w:r>
        <w:rPr>
          <w:u w:val="single"/>
        </w:rPr>
        <w:t xml:space="preserve"> </w:t>
      </w:r>
      <w:r>
        <w:rPr>
          <w:u w:val="single"/>
        </w:rPr>
        <w:t xml:space="preserve">PROHIBITED ACTS REGARDING GENDER TRANSITIONING OR GENDER REASSIGNMENT PROCEDURES AND TREATMENTS ON CERTAIN CHILDREN.  (a)  The board shall revoke the license or other authorization to practice medicine of a physician who violates Section 161.702, Health and Safety Code.  The board shall refuse to admit to examination or refuse to issue a license or renewal license to a person who violates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sanctions provided by Subsection (a) are in addition to any other grounds for revocation of a license or other authorization to practice medicine or for refusal to admit persons to examination under this subtitle or to issue a license or renew a license to practice medicine under this subtitle.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164.052, Occupations Code, as amended by this Act, and Section 164.0552, Occupations Code, as added by this Act, apply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