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requiring public institution of higher education students who compete in intercollegiate athletic competitions to compete based on biological sex.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Save Women's Sports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51, Education Code, is amended by adding Section 51.980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51.980.</w:t>
      </w:r>
      <w:r>
        <w:rPr>
          <w:u w:val="single"/>
        </w:rPr>
        <w:t xml:space="preserve"> </w:t>
      </w:r>
      <w:r>
        <w:rPr>
          <w:u w:val="single"/>
        </w:rPr>
        <w:t xml:space="preserve"> </w:t>
      </w:r>
      <w:r>
        <w:rPr>
          <w:u w:val="single"/>
        </w:rPr>
        <w:t xml:space="preserve">INTERCOLLEGIATE ATHLETIC COMPETITION BASED ON BIOLOGICAL SEX.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"Athletic competition"</w:t>
      </w:r>
      <w:r>
        <w:rPr>
          <w:u w:val="single"/>
        </w:rPr>
        <w:t xml:space="preserve"> </w:t>
      </w:r>
      <w:r>
        <w:rPr>
          <w:u w:val="single"/>
        </w:rPr>
        <w:t xml:space="preserve">means any athletic display between teams or individuals, such as a contest, exhibition, performance, or sport.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w:t>
      </w:r>
      <w:r>
        <w:rPr>
          <w:u w:val="single"/>
        </w:rPr>
        <w:t xml:space="preserve"> </w:t>
      </w:r>
      <w:r>
        <w:rPr>
          <w:u w:val="single"/>
        </w:rPr>
        <w:t xml:space="preserve">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an intercollegiate athletic team sponsored or authorized by an institution of higher education may not allow: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student to compete on the team in an intercollegiate athletic competition sponsored or authorized by the institution that is designated for the biological sex opposite to the student's biological sex;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male student to compete on the team in a mixed-sex intercollegiate athletic competition sponsored or authorized by the institution in a position that is designated by rule or procedure for female students.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intercollegiate athletic team described by Subsection (b) may allow a female student to compete in an intercollegiate athletic competition that is designated for male students if a corresponding intercollegiate athletic competition designated for female students is not offered or available.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student's biological sex is the biological sex correctly stated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student's official birth certificate, as described by Subdivision (2);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student's official birth certificate described by Paragraph (A) is unobtainable, another government record that accurately states the student's biological sex;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of a student's biological sex on the student's official birth certificate is considered to have correctly stated the student's biological sex only if the statement was: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entered at or near the time of the student's birth;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modified to correct a scrivener or clerical error in the student's biological sex.</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institution of higher education or an intercollegiate athletic team described by Subsection (b) may not retaliate against a person for reporting a violation of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bring a civil action for injunctive relief against an institution of higher education or an intercollegiate athletic team described by Subsection (b) that violates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Texas Higher Education Coordinating Board shall adopt rules to implement this section.  The rules must ensure compliance with state and federal law regarding the confidentiality of student medical information, including Chapter 181, Health and Safety Code, and the Health Insurance Portability and Accountability Act of 1996 (42 U.S.C. Section 1320d et seq.).</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to any intercollegiate athletic competition sponsored or authorized by a public institution of higher education that occurs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 passed the Senate on March</w:t>
      </w:r>
      <w:r xml:space="preserve">
        <w:t> </w:t>
      </w:r>
      <w:r>
        <w:t xml:space="preserve">29,</w:t>
      </w:r>
      <w:r xml:space="preserve">
        <w:t> </w:t>
      </w:r>
      <w:r>
        <w:t xml:space="preserve">2023, by the following vote:  Yeas</w:t>
      </w:r>
      <w:r xml:space="preserve">
        <w:t> </w:t>
      </w:r>
      <w:r>
        <w:t xml:space="preserve">19, Nays</w:t>
      </w:r>
      <w:r xml:space="preserve">
        <w:t> </w:t>
      </w:r>
      <w:r>
        <w:t xml:space="preserve">10, two</w:t>
      </w:r>
      <w:r xml:space="preserve">
        <w:t> </w:t>
      </w:r>
      <w:r>
        <w:t xml:space="preserve">present</w:t>
      </w:r>
      <w:r xml:space="preserve">
        <w:t> </w:t>
      </w:r>
      <w:r>
        <w:t xml:space="preserve">not</w:t>
      </w:r>
      <w:r xml:space="preserve">
        <w:t> </w:t>
      </w:r>
      <w:r>
        <w:t xml:space="preserve">voting; and that the Senate concurred in House amendment on May</w:t>
      </w:r>
      <w:r xml:space="preserve">
        <w:t> </w:t>
      </w:r>
      <w:r>
        <w:t xml:space="preserve">26,</w:t>
      </w:r>
      <w:r xml:space="preserve">
        <w:t> </w:t>
      </w:r>
      <w:r>
        <w:t xml:space="preserve">2023, by the following vote:  Yeas</w:t>
      </w:r>
      <w:r xml:space="preserve">
        <w:t> </w:t>
      </w:r>
      <w:r>
        <w:t xml:space="preserve">19, Nays</w:t>
      </w:r>
      <w:r xml:space="preserve">
        <w:t> </w:t>
      </w:r>
      <w:r>
        <w:t xml:space="preserve">12.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 passed the House, with amendment, on May</w:t>
      </w:r>
      <w:r xml:space="preserve">
        <w:t> </w:t>
      </w:r>
      <w:r>
        <w:t xml:space="preserve">18,</w:t>
      </w:r>
      <w:r xml:space="preserve">
        <w:t> </w:t>
      </w:r>
      <w:r>
        <w:t xml:space="preserve">2023, by the following vote:  Yeas</w:t>
      </w:r>
      <w:r xml:space="preserve">
        <w:t> </w:t>
      </w:r>
      <w:r>
        <w:t xml:space="preserve">95, Nays</w:t>
      </w:r>
      <w:r xml:space="preserve">
        <w:t> </w:t>
      </w:r>
      <w:r>
        <w:t xml:space="preserve">50, three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