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2023S0272-1  03/08/23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student of a public institution of higher education who competes in intercollegiate athletic competitions to do so based on the student's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51.980.</w:t>
      </w:r>
      <w:r>
        <w:rPr>
          <w:u w:val="single"/>
        </w:rPr>
        <w:t xml:space="preserve"> </w:t>
      </w:r>
      <w:r>
        <w:rPr>
          <w:u w:val="single"/>
        </w:rPr>
        <w:t xml:space="preserve"> </w:t>
      </w:r>
      <w:r>
        <w:rPr>
          <w:u w:val="single"/>
        </w:rPr>
        <w:t xml:space="preserve">INTERCOLLEGIATE ATHLETIC COMPETITION BASED ON BIOLOGICAL SEX.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intercollegiate athletic team sponsored or authorized by an institution of higher education may not allow a student to compete on the team in an intercollegiate athletic competition sponsored or authorized by the institution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 that accurately states the student's biological sex.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intercollegiate athletic team described by Subsection (b) may allow a female student to compete in an intercollegiate athletic competition that is designated for male students if a corresponding intercollegiate athletic competition designated for female students is not offered or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scrivener or clerical error in the student's biological sex.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or an intercollegiate athletic team described by Subsection (b) may not retaliate against a person for reporting a violation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Higher Education Coordinating Board shall adopt rules to implement this section.  The rules must ensure compliance with state and federal law regarding the confidentiality of student medical information, including Chapter 181, Health and Safety Code, and the Health Insurance Portability and Accountability Act of 1996 (42 U.S.C. Section 1320d et seq.).</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may bring an action for injunctive relief for a violation of this section.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 any intercollegiate athletic competition sponsored or authorized by a public institution of higher education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