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88R27278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21</w:t>
      </w:r>
    </w:p>
    <w:p w:rsidR="003F3435" w:rsidRDefault="0032493E">
      <w:pPr>
        <w:ind w:firstLine="720"/>
        <w:jc w:val="both"/>
      </w:pPr>
      <w:r>
        <w:t xml:space="preserve">(Leach)</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21:</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C.S.S.B.</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discipline of judges by the State Commission on Judicial Conduct and the legislature.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(a)</w:t>
      </w:r>
      <w:r xml:space="preserve">
        <w:t> </w:t>
      </w:r>
      <w:r xml:space="preserve">
        <w:t>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completion of the preliminary investigation and submission of recommendations under Subsection (a), commission staff shall provide to the judge who is the subject of the complaint written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the results of the preliminary investigation, and the commission staff's recommendations for commission action regarding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judge's right to attend each commission meeting at which the complaint is included in the report filed with the commission members under Subsection (a-2).</w:t>
      </w:r>
      <w:r>
        <w:t xml:space="preserve"> </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business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 five business days after the commission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published notice of the action to be taken by posting the notice on the commission's Internet website not more than seven business days after the commission meeting.</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w:t>
      </w:r>
      <w:r xml:space="preserve">
        <w:rPr>
          <w:strike/>
        </w:rPr>
        <w:t> </w:t>
      </w:r>
      <w:r xml:space="preserve">
        <w:rPr>
          <w:strike/>
        </w:rPr>
        <w:t>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w:t>
      </w:r>
      <w:r xml:space="preserve">
        <w:t>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w:t>
      </w:r>
      <w:r>
        <w:t xml:space="preserve"> [</w:t>
      </w:r>
      <w:r>
        <w:rPr>
          <w:strike/>
        </w:rPr>
        <w:t xml:space="preserve">chairperson grants additional time under Subsection (d)</w:t>
      </w:r>
      <w:r>
        <w:t xml:space="preserve">], the commission must timely inform the legislature of the extension.</w:t>
      </w:r>
      <w:r xml:space="preserve">
        <w:t> </w:t>
      </w:r>
      <w:r xml:space="preserve">
        <w:t> </w:t>
      </w:r>
      <w:r>
        <w:t xml:space="preserve">The commission may not disclose to the legislature any confidential information regarding the complaint.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33.0213, Government Code, is amended to read as follows:</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On notice by any law enforcement agency investigating an action for which a complaint has been filed with the commission,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place the commission's complaint file on hold and decline any further investigation that would jeopardize the law enforcement agency's investigation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r>
        <w:t xml:space="preserve"> [</w:t>
      </w:r>
      <w:r>
        <w:rPr>
          <w:strike/>
        </w:rPr>
        <w:t xml:space="preserve">. The commission may</w:t>
      </w:r>
      <w:r>
        <w:t xml:space="preserve">] continue an investigation that would not jeopardize a law enforcement investigation </w:t>
      </w:r>
      <w:r>
        <w:rPr>
          <w:u w:val="single"/>
        </w:rPr>
        <w:t xml:space="preserve">regarding the conduct subject to the complaint and may issue a censure or sanction based on the complaint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33.034, Government Code, is amended by amending Subsection (a) and adding Subsection (j)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sanction or censure issued by the commission under Section 1-a(8), Article V, Texas Constitution, </w:t>
      </w:r>
      <w:r>
        <w:rPr>
          <w:u w:val="single"/>
        </w:rPr>
        <w:t xml:space="preserve">may request</w:t>
      </w:r>
      <w:r>
        <w:t xml:space="preserve"> [</w:t>
      </w:r>
      <w:r>
        <w:rPr>
          <w:strike/>
        </w:rPr>
        <w:t xml:space="preserve">or any other type of sanction is entitled to</w:t>
      </w:r>
      <w:r>
        <w:t xml:space="preserve">]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w:t>
      </w:r>
      <w:r>
        <w:rPr>
          <w:u w:val="single"/>
        </w:rPr>
        <w:t xml:space="preserve"> </w:t>
      </w:r>
      <w:r>
        <w:rPr>
          <w:u w:val="single"/>
        </w:rPr>
        <w:t xml:space="preserve">send notice of the reprimand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officers of each legislative standing committee with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the court the reprimanded judge serves is located.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rPr>
          <w:u w:val="single"/>
        </w:rPr>
        <w:t xml:space="preserve">(a)</w:t>
      </w:r>
      <w:r>
        <w:t xml:space="preserve">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21st day after the date the commission initiates formal proceedings against a judge based on the judge's persistent or wilful violation of Article 17.15, Code of Criminal Procedure, the commission shall recommend to the supreme court that the judge be suspended from office pursuant to Section 1-a, Article V,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w:t>
      </w:r>
      <w:r>
        <w:rPr>
          <w:u w:val="single"/>
        </w:rPr>
        <w:t xml:space="preserve">, excluding any reprimand or censure that was reviewed and rescinded by a special court of review under Section 33.034</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judge has not received more than one of any other type of public sanction, excluding any sanction that was reviewed and rescinded by a special court of review under Section 33.034;</w:t>
      </w:r>
      <w:r>
        <w:t xml:space="preserve"> </w:t>
      </w:r>
      <w:r>
        <w:t xml:space="preserve">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As soon as practicable after the effective date of this Act,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33.001(b) and 665.052(b), Government Code, as amended by this Act, apply only to</w:t>
      </w:r>
      <w:r xml:space="preserve">
        <w:t> </w:t>
      </w:r>
      <w:r xml:space="preserve">
        <w:t> </w:t>
      </w:r>
      <w:r>
        <w:t xml:space="preserve">an allegation of judicial misconduct received by the State Commission on Judicial Conduct or the legislature on or after the effective date of this Act, regardless of whether the conduct or act that is the subject of the allegation occurred or was committed before,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the effective date of this Act and may not be assigned to any court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