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2023S0289-1  03/10/23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 of and complaints against current and former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33.0212 and 33.0213, Government Code, are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  </w:t>
      </w:r>
      <w:r>
        <w:rPr>
          <w:u w:val="single"/>
        </w:rPr>
        <w:t xml:space="preserve">As soon as practicable after a complaint is filed with the commission, commission staff shall conduct a preliminary investigation of the filed complaint and draft recommendations for commission action.</w:t>
      </w:r>
      <w:r>
        <w:t xml:space="preserve"> </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w:t>
      </w:r>
      <w:r>
        <w:t xml:space="preserve"> </w:t>
      </w:r>
    </w:p>
    <w:p w:rsidR="003F3435" w:rsidRDefault="0032493E">
      <w:pPr>
        <w:spacing w:line="480" w:lineRule="auto"/>
        <w:jc w:val="both"/>
      </w:pPr>
      <w:r>
        <w:rPr>
          <w:u w:val="single"/>
        </w:rPr>
        <w:t xml:space="preserve">investigation, and the commission staff's recommendations for commission action regarding the complaint;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  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48 hours after the commission meeting;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notice of the action to be taken published on the commission's Internet website not more than 72 hours after the commission meeting.</w:t>
      </w:r>
      <w:r>
        <w:t xml:space="preserve"> </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 the commission may order an extension</w:t>
      </w:r>
      <w:r>
        <w:t xml:space="preserve">[</w:t>
      </w:r>
      <w:r>
        <w:rPr>
          <w:strike/>
        </w:rPr>
        <w:t xml:space="preserve">, the staff shall notify the commission and propose the number of days required for the commission and commission staff to complete the investigation report and recommendations and finalize the complaint.  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  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  The commission may not disclose to the legislature any confidential information regarding the complaint.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33.034(a),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w:t>
      </w:r>
      <w:r>
        <w:rPr>
          <w:u w:val="single"/>
        </w:rPr>
        <w:t xml:space="preserve">public</w:t>
      </w:r>
      <w:r>
        <w:t xml:space="preserve"> sanction or censure issued by the commission under Section 1-a(8), Article V, Texas Constitution, </w:t>
      </w:r>
      <w:r>
        <w:rPr>
          <w:u w:val="single"/>
        </w:rPr>
        <w:t xml:space="preserve">that would prohibit the judge from service as a visiting judge</w:t>
      </w:r>
      <w:r>
        <w:t xml:space="preserve"> [</w:t>
      </w:r>
      <w:r>
        <w:rPr>
          <w:strike/>
        </w:rPr>
        <w:t xml:space="preserve">or any other type of sanction</w:t>
      </w:r>
      <w:r>
        <w:t xml:space="preserve">] is entitled to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PENDING APPEAL </w:t>
      </w:r>
      <w:r>
        <w:rPr>
          <w:u w:val="single"/>
        </w:rPr>
        <w:t xml:space="preserve">OR FORMAL PROCEEDINGS</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judge is subject to formal proceedings under Section 1-a(8), Article V, Texas Constitution, the commission shall within 15 days following the appointment of a special master suspend the judge from office without pay pending final disposition unless the special master recommends otherwise.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issues a public reprimand of a judge under Section 1-a(8), Article V, Texas Constitution, for a violation of Section 33.001(b)(7) or 665.052(b)(4), the reprimand must include a 60-day suspension without pay.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suspension under Subsection (c), the commission shall notify the governor, the lieutenant governor, the speaker of the house of representatives, the presiding officers of the standing committees of each house of the legislature with applicable jurisdiction, and the comptroller of the suspension.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publicly reprimanded or censured by the State Commission on Judicial Conduct;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publicly reprimanded, sanctioned, or censured, or any combination of those punishments, more than once, unless the reprimand, sanction, or censure has been reviewed and rescinded by a special court of review under Section 33.034;</w:t>
      </w:r>
      <w:r>
        <w:t xml:space="preserve">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allegation of judicial misconduct received by the State Commission on Judicial Conduct or the legislature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33.037, Government Code, as amended by this Act, applies only to a special master appointed to hear a formal proceeding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