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88R15499 MPF-D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prohibited governmental entity implementation or enforcement of a vaccine mandate,  mask requirement, or private business or school closure to prevent the spread of COVID-19.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2, Health and Safety Code, is amended by adding Chapter 81B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81B. </w:t>
      </w:r>
      <w:r>
        <w:rPr>
          <w:u w:val="single"/>
        </w:rPr>
        <w:t xml:space="preserve"> </w:t>
      </w:r>
      <w:r>
        <w:rPr>
          <w:u w:val="single"/>
        </w:rPr>
        <w:t xml:space="preserve">PROHIBITED CORONAVIRUS PREVENTATIVE MEASURES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81B.001.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"COVID-19" means the 2019 novel coronavirus disease and any variants of the disease.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"Governmental entity" means this state, a local government entity as defined by Section 418.004, Government Code, or an agency of this state or a local government entity.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81B.002.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FACE-COVERING MANDATE. </w:t>
      </w:r>
      <w:r>
        <w:rPr>
          <w:u w:val="single"/>
        </w:rPr>
        <w:t xml:space="preserve"> </w:t>
      </w:r>
      <w:r>
        <w:rPr>
          <w:u w:val="single"/>
        </w:rPr>
        <w:t xml:space="preserve">A governmental entity may not implement, order, or otherwise impose a mandate requiring a person to wear a face mask or other face covering to prevent the spread of COVID-19.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81B.003.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VACCINE MANDATE.  A governmental entity may not implement, order, or otherwise impose a mandate requiring a person to be vaccinated against COVID-19.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81B.004.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CLOSURE MANDATE FOR PRIVATE BUSINESSES AND SCHOOLS.  A governmental entity may not implement, order, or otherwise impose a mandate requiring the closure of a private business, public school, open-enrollment charter school, or private school to prevent the spread of COVID-19.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